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43271" w14:textId="77777777" w:rsidR="00F841D1" w:rsidRPr="00406D78" w:rsidRDefault="00F841D1" w:rsidP="0045267D">
      <w:pPr>
        <w:pStyle w:val="Default"/>
        <w:ind w:left="4956"/>
        <w:rPr>
          <w:color w:val="auto"/>
          <w:sz w:val="22"/>
          <w:szCs w:val="22"/>
        </w:rPr>
      </w:pPr>
    </w:p>
    <w:p w14:paraId="520729CB" w14:textId="77777777" w:rsidR="004547D6" w:rsidRPr="005B4652" w:rsidRDefault="004547D6" w:rsidP="004547D6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5B4652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Příloha č. </w:t>
      </w:r>
      <w:r w:rsidR="005B4652" w:rsidRPr="005B4652">
        <w:rPr>
          <w:rFonts w:ascii="Times New Roman" w:hAnsi="Times New Roman" w:cs="Times New Roman"/>
          <w:bCs/>
          <w:color w:val="auto"/>
          <w:sz w:val="22"/>
          <w:szCs w:val="22"/>
        </w:rPr>
        <w:t>4</w:t>
      </w:r>
      <w:r w:rsidRPr="005B4652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výzvy k podání nabídky</w:t>
      </w:r>
    </w:p>
    <w:p w14:paraId="77DB239D" w14:textId="77777777" w:rsidR="004547D6" w:rsidRPr="00F7185D" w:rsidRDefault="004547D6" w:rsidP="004547D6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CF23A31" w14:textId="48D28E80" w:rsidR="004547D6" w:rsidRPr="00A87FAC" w:rsidRDefault="00D973C1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D973C1">
        <w:rPr>
          <w:rFonts w:ascii="Times New Roman" w:hAnsi="Times New Roman" w:cs="Times New Roman"/>
          <w:b/>
          <w:bCs/>
          <w:color w:val="auto"/>
          <w:sz w:val="32"/>
          <w:szCs w:val="32"/>
        </w:rPr>
        <w:t>Smlouva o poskytování služ</w:t>
      </w:r>
      <w:r w:rsidR="004046CD">
        <w:rPr>
          <w:rFonts w:ascii="Times New Roman" w:hAnsi="Times New Roman" w:cs="Times New Roman"/>
          <w:b/>
          <w:bCs/>
          <w:color w:val="auto"/>
          <w:sz w:val="32"/>
          <w:szCs w:val="32"/>
        </w:rPr>
        <w:t>eb</w:t>
      </w:r>
      <w:r w:rsidRPr="00D973C1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technické podpory</w:t>
      </w:r>
      <w:r w:rsidR="004547D6" w:rsidRPr="00D90E3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r w:rsidR="0045267D" w:rsidRPr="00A87FAC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pro </w:t>
      </w:r>
      <w:proofErr w:type="spellStart"/>
      <w:r w:rsidR="0045267D" w:rsidRPr="00A87FAC">
        <w:rPr>
          <w:rFonts w:ascii="Times New Roman" w:hAnsi="Times New Roman" w:cs="Times New Roman"/>
          <w:b/>
          <w:bCs/>
          <w:color w:val="auto"/>
          <w:sz w:val="32"/>
          <w:szCs w:val="32"/>
        </w:rPr>
        <w:t>VoIP</w:t>
      </w:r>
      <w:proofErr w:type="spellEnd"/>
      <w:r w:rsidR="0045267D" w:rsidRPr="00A87FAC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proofErr w:type="spellStart"/>
      <w:r w:rsidR="0045267D" w:rsidRPr="00A87FAC">
        <w:rPr>
          <w:rFonts w:ascii="Times New Roman" w:hAnsi="Times New Roman" w:cs="Times New Roman"/>
          <w:b/>
          <w:bCs/>
          <w:color w:val="auto"/>
          <w:sz w:val="32"/>
          <w:szCs w:val="32"/>
        </w:rPr>
        <w:t>Innovaphone</w:t>
      </w:r>
      <w:proofErr w:type="spellEnd"/>
    </w:p>
    <w:p w14:paraId="6FE202A5" w14:textId="77777777" w:rsidR="0045267D" w:rsidRDefault="0045267D" w:rsidP="00452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b/>
          <w:bCs/>
        </w:rPr>
      </w:pPr>
    </w:p>
    <w:p w14:paraId="22448BB8" w14:textId="56D9781E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</w:rPr>
      </w:pPr>
      <w:r w:rsidRPr="00406D78">
        <w:rPr>
          <w:rFonts w:eastAsia="Calibri"/>
          <w:b/>
          <w:bCs/>
        </w:rPr>
        <w:t>I. Smluvní strany</w:t>
      </w:r>
    </w:p>
    <w:p w14:paraId="3AB0DA4D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  <w:bCs/>
        </w:rPr>
        <w:t xml:space="preserve">městská část Praha 12 </w:t>
      </w:r>
    </w:p>
    <w:p w14:paraId="2DB38840" w14:textId="2F230189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se sídlem: </w:t>
      </w:r>
      <w:r w:rsidR="00B43971">
        <w:rPr>
          <w:rFonts w:eastAsia="Calibri"/>
        </w:rPr>
        <w:t>Generála Šišky 2375/6</w:t>
      </w:r>
      <w:r w:rsidRPr="00406D78">
        <w:rPr>
          <w:rFonts w:eastAsia="Calibri"/>
        </w:rPr>
        <w:t xml:space="preserve">, 143 00 Praha 4 – Modřany, </w:t>
      </w:r>
    </w:p>
    <w:p w14:paraId="5B7ED5A4" w14:textId="09CBA4BA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zastoupená: </w:t>
      </w:r>
      <w:r w:rsidR="00E630AE">
        <w:rPr>
          <w:rFonts w:eastAsia="Calibri"/>
        </w:rPr>
        <w:t>Ing. Vojtěchem Kosem, MBA</w:t>
      </w:r>
      <w:r w:rsidRPr="00406D78">
        <w:rPr>
          <w:rFonts w:eastAsia="Calibri"/>
        </w:rPr>
        <w:t xml:space="preserve"> - starostou </w:t>
      </w:r>
    </w:p>
    <w:p w14:paraId="2BD6DEFA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IČO: 00231151 </w:t>
      </w:r>
    </w:p>
    <w:p w14:paraId="6D34F3F6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DIČ: CZ00231151 </w:t>
      </w:r>
    </w:p>
    <w:p w14:paraId="238007B9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>bankovní spojení: Česká spořitelna, a.s.</w:t>
      </w:r>
    </w:p>
    <w:p w14:paraId="01B518A8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číslo účtu: 000027–2000762389/0800 </w:t>
      </w:r>
    </w:p>
    <w:p w14:paraId="1B7F8D58" w14:textId="4834300B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zástupce ve věcech smluvních: </w:t>
      </w:r>
      <w:r w:rsidR="00E630AE" w:rsidRPr="00E630AE">
        <w:rPr>
          <w:rFonts w:eastAsia="Calibri"/>
        </w:rPr>
        <w:t>JUDr. Tereza Tučková, vedoucí právního oddělení</w:t>
      </w:r>
      <w:r w:rsidR="00E630AE">
        <w:rPr>
          <w:rFonts w:eastAsia="Calibri"/>
        </w:rPr>
        <w:t>, Odbor Kancelář tajemníka</w:t>
      </w:r>
    </w:p>
    <w:p w14:paraId="075E382D" w14:textId="747FE3F0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zástupce ve věcech technických: </w:t>
      </w:r>
      <w:r w:rsidR="00A87FAC">
        <w:rPr>
          <w:rFonts w:eastAsia="Calibri"/>
        </w:rPr>
        <w:t>Bc. Vojtěch Pauch – vedoucí odboru informačních technologií</w:t>
      </w:r>
    </w:p>
    <w:p w14:paraId="449DBA3D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>(dále jen „</w:t>
      </w:r>
      <w:r w:rsidRPr="00406D78">
        <w:rPr>
          <w:rFonts w:eastAsia="Calibri"/>
          <w:iCs/>
        </w:rPr>
        <w:t>objednatel</w:t>
      </w:r>
      <w:r w:rsidRPr="00406D78">
        <w:rPr>
          <w:rFonts w:eastAsia="Calibri"/>
        </w:rPr>
        <w:t xml:space="preserve">“) </w:t>
      </w:r>
    </w:p>
    <w:p w14:paraId="71FE9039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rPr>
          <w:rFonts w:eastAsia="Calibri"/>
        </w:rPr>
      </w:pPr>
    </w:p>
    <w:p w14:paraId="4DEFC149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rPr>
          <w:rFonts w:eastAsia="Calibri"/>
        </w:rPr>
      </w:pPr>
      <w:r w:rsidRPr="00406D78">
        <w:rPr>
          <w:rFonts w:eastAsia="Calibri"/>
        </w:rPr>
        <w:t xml:space="preserve">a </w:t>
      </w:r>
    </w:p>
    <w:p w14:paraId="01D6DAA0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</w:rPr>
      </w:pP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611"/>
      </w:tblGrid>
      <w:tr w:rsidR="0045267D" w:rsidRPr="00406D78" w14:paraId="144674EF" w14:textId="77777777" w:rsidTr="00794955">
        <w:tc>
          <w:tcPr>
            <w:tcW w:w="4678" w:type="dxa"/>
          </w:tcPr>
          <w:p w14:paraId="2A8DDC15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87FAC">
              <w:rPr>
                <w:rFonts w:ascii="Times New Roman" w:hAnsi="Times New Roman" w:cs="Times New Roman"/>
                <w:color w:val="auto"/>
              </w:rPr>
              <w:t>obchodní firma (právnická osoba):</w:t>
            </w:r>
          </w:p>
        </w:tc>
        <w:tc>
          <w:tcPr>
            <w:tcW w:w="4698" w:type="dxa"/>
            <w:vMerge w:val="restart"/>
            <w:vAlign w:val="center"/>
          </w:tcPr>
          <w:p w14:paraId="1F40CEB3" w14:textId="798DA711" w:rsidR="0045267D" w:rsidRPr="00406D78" w:rsidRDefault="00A87FAC" w:rsidP="00794955">
            <w:pPr>
              <w:pStyle w:val="Default"/>
              <w:rPr>
                <w:color w:val="auto"/>
                <w:sz w:val="22"/>
                <w:szCs w:val="22"/>
              </w:rPr>
            </w:pPr>
            <w:r w:rsidRPr="00F841D1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45267D" w:rsidRPr="00406D78" w14:paraId="3152F44C" w14:textId="77777777" w:rsidTr="00794955">
        <w:tc>
          <w:tcPr>
            <w:tcW w:w="4678" w:type="dxa"/>
          </w:tcPr>
          <w:p w14:paraId="6E00A85F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87FAC">
              <w:rPr>
                <w:rFonts w:ascii="Times New Roman" w:hAnsi="Times New Roman" w:cs="Times New Roman"/>
                <w:color w:val="auto"/>
              </w:rPr>
              <w:t>jméno a příjmení (fyzická osoba):</w:t>
            </w:r>
          </w:p>
        </w:tc>
        <w:tc>
          <w:tcPr>
            <w:tcW w:w="4698" w:type="dxa"/>
            <w:vMerge/>
          </w:tcPr>
          <w:p w14:paraId="2A484384" w14:textId="77777777" w:rsidR="0045267D" w:rsidRPr="00406D78" w:rsidRDefault="0045267D" w:rsidP="0079495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5267D" w:rsidRPr="00406D78" w14:paraId="6C98E366" w14:textId="77777777" w:rsidTr="00794955">
        <w:tc>
          <w:tcPr>
            <w:tcW w:w="4678" w:type="dxa"/>
          </w:tcPr>
          <w:p w14:paraId="5672DD2D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87FAC">
              <w:rPr>
                <w:rFonts w:ascii="Times New Roman" w:hAnsi="Times New Roman" w:cs="Times New Roman"/>
                <w:color w:val="auto"/>
              </w:rPr>
              <w:t>sídlo (právnická osoba):</w:t>
            </w:r>
          </w:p>
        </w:tc>
        <w:tc>
          <w:tcPr>
            <w:tcW w:w="4698" w:type="dxa"/>
            <w:vMerge w:val="restart"/>
            <w:vAlign w:val="center"/>
          </w:tcPr>
          <w:p w14:paraId="0F9BF1D3" w14:textId="5A5769A4" w:rsidR="0045267D" w:rsidRPr="00406D78" w:rsidRDefault="00A87FAC" w:rsidP="00794955">
            <w:pPr>
              <w:pStyle w:val="Default"/>
              <w:rPr>
                <w:color w:val="auto"/>
                <w:sz w:val="22"/>
                <w:szCs w:val="22"/>
              </w:rPr>
            </w:pPr>
            <w:r w:rsidRPr="00F841D1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45267D" w:rsidRPr="00406D78" w14:paraId="13AF1AAD" w14:textId="77777777" w:rsidTr="00794955">
        <w:tc>
          <w:tcPr>
            <w:tcW w:w="4678" w:type="dxa"/>
          </w:tcPr>
          <w:p w14:paraId="40589F4A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87FAC">
              <w:rPr>
                <w:rFonts w:ascii="Times New Roman" w:hAnsi="Times New Roman" w:cs="Times New Roman"/>
              </w:rPr>
              <w:t>sídlo/bydliště (fyzická osoba):</w:t>
            </w:r>
          </w:p>
        </w:tc>
        <w:tc>
          <w:tcPr>
            <w:tcW w:w="4698" w:type="dxa"/>
            <w:vMerge/>
          </w:tcPr>
          <w:p w14:paraId="22E3AEA1" w14:textId="77777777" w:rsidR="0045267D" w:rsidRPr="00406D78" w:rsidRDefault="0045267D" w:rsidP="0079495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5267D" w:rsidRPr="00406D78" w14:paraId="227042A5" w14:textId="77777777" w:rsidTr="00794955">
        <w:tc>
          <w:tcPr>
            <w:tcW w:w="4678" w:type="dxa"/>
          </w:tcPr>
          <w:p w14:paraId="3F9F1D90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87FAC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4698" w:type="dxa"/>
          </w:tcPr>
          <w:p w14:paraId="563DF86D" w14:textId="0892F77D" w:rsidR="0045267D" w:rsidRPr="00406D78" w:rsidRDefault="00A87FAC" w:rsidP="00A87FAC">
            <w:pPr>
              <w:ind w:left="0" w:firstLine="0"/>
            </w:pPr>
            <w:r w:rsidRPr="00F841D1">
              <w:rPr>
                <w:b/>
                <w:i/>
                <w:sz w:val="22"/>
                <w:highlight w:val="yellow"/>
              </w:rPr>
              <w:t>(doplní účastník)</w:t>
            </w:r>
          </w:p>
        </w:tc>
      </w:tr>
      <w:tr w:rsidR="0045267D" w:rsidRPr="00406D78" w14:paraId="086A13D0" w14:textId="77777777" w:rsidTr="00794955">
        <w:tc>
          <w:tcPr>
            <w:tcW w:w="4678" w:type="dxa"/>
          </w:tcPr>
          <w:p w14:paraId="47B96DA3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87FAC">
              <w:rPr>
                <w:rFonts w:ascii="Times New Roman" w:hAnsi="Times New Roman" w:cs="Times New Roman"/>
              </w:rPr>
              <w:t>DIČ:</w:t>
            </w:r>
          </w:p>
        </w:tc>
        <w:tc>
          <w:tcPr>
            <w:tcW w:w="4698" w:type="dxa"/>
          </w:tcPr>
          <w:p w14:paraId="2FAFDACF" w14:textId="655D8689" w:rsidR="0045267D" w:rsidRPr="00406D78" w:rsidRDefault="00A87FAC" w:rsidP="00A87FAC">
            <w:pPr>
              <w:ind w:left="0" w:firstLine="0"/>
            </w:pPr>
            <w:r w:rsidRPr="00F841D1">
              <w:rPr>
                <w:b/>
                <w:i/>
                <w:sz w:val="22"/>
                <w:highlight w:val="yellow"/>
              </w:rPr>
              <w:t>(doplní účastník)</w:t>
            </w:r>
          </w:p>
        </w:tc>
      </w:tr>
      <w:tr w:rsidR="0045267D" w:rsidRPr="00406D78" w14:paraId="5AD4F84C" w14:textId="77777777" w:rsidTr="00794955">
        <w:tc>
          <w:tcPr>
            <w:tcW w:w="4678" w:type="dxa"/>
          </w:tcPr>
          <w:p w14:paraId="6886D984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</w:rPr>
            </w:pPr>
            <w:r w:rsidRPr="00A87FAC">
              <w:rPr>
                <w:rFonts w:ascii="Times New Roman" w:hAnsi="Times New Roman" w:cs="Times New Roman"/>
              </w:rPr>
              <w:t>zastoupená/ý:</w:t>
            </w:r>
          </w:p>
        </w:tc>
        <w:tc>
          <w:tcPr>
            <w:tcW w:w="4698" w:type="dxa"/>
          </w:tcPr>
          <w:p w14:paraId="18539DAF" w14:textId="029E106B" w:rsidR="0045267D" w:rsidRPr="00406D78" w:rsidRDefault="00A87FAC" w:rsidP="00A87FAC">
            <w:pPr>
              <w:ind w:left="0" w:firstLine="0"/>
              <w:rPr>
                <w:rFonts w:eastAsia="Calibri"/>
                <w:highlight w:val="yellow"/>
              </w:rPr>
            </w:pPr>
            <w:r w:rsidRPr="00F841D1">
              <w:rPr>
                <w:b/>
                <w:i/>
                <w:sz w:val="22"/>
                <w:highlight w:val="yellow"/>
              </w:rPr>
              <w:t>(doplní účastník)</w:t>
            </w:r>
          </w:p>
        </w:tc>
      </w:tr>
      <w:tr w:rsidR="0045267D" w:rsidRPr="00406D78" w14:paraId="483897F0" w14:textId="77777777" w:rsidTr="00794955">
        <w:tc>
          <w:tcPr>
            <w:tcW w:w="4678" w:type="dxa"/>
          </w:tcPr>
          <w:p w14:paraId="37465E84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</w:rPr>
            </w:pPr>
            <w:r w:rsidRPr="00A87FAC">
              <w:rPr>
                <w:rFonts w:ascii="Times New Roman" w:hAnsi="Times New Roman" w:cs="Times New Roman"/>
              </w:rPr>
              <w:t>spisová značka:</w:t>
            </w:r>
          </w:p>
        </w:tc>
        <w:tc>
          <w:tcPr>
            <w:tcW w:w="4698" w:type="dxa"/>
          </w:tcPr>
          <w:p w14:paraId="21A4BECE" w14:textId="66F8807F" w:rsidR="0045267D" w:rsidRPr="00406D78" w:rsidRDefault="00A87FAC" w:rsidP="00A87FAC">
            <w:pPr>
              <w:ind w:left="0" w:firstLine="0"/>
              <w:rPr>
                <w:rFonts w:eastAsia="Calibri"/>
                <w:highlight w:val="yellow"/>
              </w:rPr>
            </w:pPr>
            <w:r w:rsidRPr="00F841D1">
              <w:rPr>
                <w:b/>
                <w:i/>
                <w:sz w:val="22"/>
                <w:highlight w:val="yellow"/>
              </w:rPr>
              <w:t>(doplní účastník)</w:t>
            </w:r>
          </w:p>
        </w:tc>
      </w:tr>
      <w:tr w:rsidR="0045267D" w:rsidRPr="00406D78" w14:paraId="2FB92426" w14:textId="77777777" w:rsidTr="00794955">
        <w:tc>
          <w:tcPr>
            <w:tcW w:w="4678" w:type="dxa"/>
          </w:tcPr>
          <w:p w14:paraId="3E29A762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</w:rPr>
            </w:pPr>
            <w:r w:rsidRPr="00A87FAC">
              <w:rPr>
                <w:rFonts w:ascii="Times New Roman" w:hAnsi="Times New Roman" w:cs="Times New Roman"/>
              </w:rPr>
              <w:t>bankovní spojení:</w:t>
            </w:r>
          </w:p>
        </w:tc>
        <w:tc>
          <w:tcPr>
            <w:tcW w:w="4698" w:type="dxa"/>
          </w:tcPr>
          <w:p w14:paraId="5F07223B" w14:textId="61647306" w:rsidR="0045267D" w:rsidRPr="00406D78" w:rsidRDefault="00A87FAC" w:rsidP="00A87FAC">
            <w:pPr>
              <w:ind w:left="0" w:firstLine="0"/>
              <w:rPr>
                <w:rFonts w:eastAsia="Calibri"/>
                <w:highlight w:val="yellow"/>
              </w:rPr>
            </w:pPr>
            <w:r w:rsidRPr="00F841D1">
              <w:rPr>
                <w:b/>
                <w:i/>
                <w:sz w:val="22"/>
                <w:highlight w:val="yellow"/>
              </w:rPr>
              <w:t>(doplní účastník)</w:t>
            </w:r>
          </w:p>
        </w:tc>
      </w:tr>
      <w:tr w:rsidR="0045267D" w:rsidRPr="00406D78" w14:paraId="2F43275D" w14:textId="77777777" w:rsidTr="00794955">
        <w:tc>
          <w:tcPr>
            <w:tcW w:w="4678" w:type="dxa"/>
          </w:tcPr>
          <w:p w14:paraId="6CACA32A" w14:textId="77777777" w:rsidR="0045267D" w:rsidRPr="00A87FAC" w:rsidRDefault="0045267D" w:rsidP="00794955">
            <w:pPr>
              <w:pStyle w:val="Default"/>
              <w:rPr>
                <w:rFonts w:ascii="Times New Roman" w:hAnsi="Times New Roman" w:cs="Times New Roman"/>
              </w:rPr>
            </w:pPr>
            <w:r w:rsidRPr="00A87FAC">
              <w:rPr>
                <w:rFonts w:ascii="Times New Roman" w:hAnsi="Times New Roman" w:cs="Times New Roman"/>
              </w:rPr>
              <w:t>číslo účtu:</w:t>
            </w:r>
          </w:p>
        </w:tc>
        <w:tc>
          <w:tcPr>
            <w:tcW w:w="4698" w:type="dxa"/>
          </w:tcPr>
          <w:p w14:paraId="35FC6889" w14:textId="56E6E390" w:rsidR="0045267D" w:rsidRPr="00406D78" w:rsidRDefault="00A87FAC" w:rsidP="00A87FAC">
            <w:pPr>
              <w:ind w:left="0" w:firstLine="0"/>
              <w:rPr>
                <w:rFonts w:eastAsia="Calibri"/>
                <w:highlight w:val="yellow"/>
              </w:rPr>
            </w:pPr>
            <w:r w:rsidRPr="00F841D1">
              <w:rPr>
                <w:b/>
                <w:i/>
                <w:sz w:val="22"/>
                <w:highlight w:val="yellow"/>
              </w:rPr>
              <w:t>(doplní účastník)</w:t>
            </w:r>
          </w:p>
        </w:tc>
      </w:tr>
    </w:tbl>
    <w:p w14:paraId="3E49DB39" w14:textId="0D6A13EF" w:rsidR="0045267D" w:rsidRPr="00406D78" w:rsidRDefault="0045267D" w:rsidP="00A87FAC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</w:rPr>
      </w:pPr>
      <w:r w:rsidRPr="00406D78">
        <w:rPr>
          <w:rFonts w:eastAsia="Calibri"/>
        </w:rPr>
        <w:t>(dále jen „</w:t>
      </w:r>
      <w:r w:rsidR="00E03380">
        <w:rPr>
          <w:rFonts w:eastAsia="Calibri"/>
        </w:rPr>
        <w:t>dodavatel</w:t>
      </w:r>
      <w:r w:rsidRPr="00406D78">
        <w:rPr>
          <w:rFonts w:eastAsia="Calibri"/>
        </w:rPr>
        <w:t xml:space="preserve">“) </w:t>
      </w:r>
    </w:p>
    <w:p w14:paraId="326BFBA4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</w:rPr>
      </w:pPr>
    </w:p>
    <w:p w14:paraId="63AF42E3" w14:textId="499E6D2B" w:rsidR="004547D6" w:rsidRDefault="004547D6" w:rsidP="004547D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5DCEF22C" w14:textId="77777777" w:rsidR="0045267D" w:rsidRPr="00D90E3D" w:rsidRDefault="0045267D" w:rsidP="004547D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2273A55" w14:textId="77777777" w:rsidR="004547D6" w:rsidRPr="00D90E3D" w:rsidRDefault="004547D6" w:rsidP="004547D6">
      <w:pPr>
        <w:pStyle w:val="Identifikacestran"/>
      </w:pPr>
    </w:p>
    <w:p w14:paraId="65F5B275" w14:textId="7B124FE3" w:rsidR="004547D6" w:rsidRPr="00A87445" w:rsidRDefault="004547D6" w:rsidP="004547D6">
      <w:pPr>
        <w:pStyle w:val="Identifikacestran"/>
        <w:rPr>
          <w:szCs w:val="24"/>
        </w:rPr>
      </w:pPr>
      <w:r w:rsidRPr="00A87445">
        <w:rPr>
          <w:szCs w:val="24"/>
        </w:rPr>
        <w:t xml:space="preserve">uzavírají tuto </w:t>
      </w:r>
      <w:r w:rsidRPr="00A87445">
        <w:rPr>
          <w:b/>
          <w:szCs w:val="24"/>
        </w:rPr>
        <w:t xml:space="preserve">smlouvu o </w:t>
      </w:r>
      <w:r w:rsidR="00D973C1">
        <w:rPr>
          <w:b/>
          <w:szCs w:val="24"/>
        </w:rPr>
        <w:t>poskytování služeb</w:t>
      </w:r>
      <w:r w:rsidRPr="00A87445">
        <w:rPr>
          <w:szCs w:val="24"/>
        </w:rPr>
        <w:t xml:space="preserve"> v souladu s ustanovením § </w:t>
      </w:r>
      <w:r w:rsidR="00D973C1">
        <w:rPr>
          <w:szCs w:val="24"/>
        </w:rPr>
        <w:t xml:space="preserve">1746 odst. 2 </w:t>
      </w:r>
      <w:r w:rsidRPr="00A87445">
        <w:rPr>
          <w:szCs w:val="24"/>
        </w:rPr>
        <w:t>zákona č. 89/2012 Sb., občansk</w:t>
      </w:r>
      <w:r w:rsidR="0045267D">
        <w:rPr>
          <w:szCs w:val="24"/>
        </w:rPr>
        <w:t>ý</w:t>
      </w:r>
      <w:r w:rsidRPr="00A87445">
        <w:rPr>
          <w:szCs w:val="24"/>
        </w:rPr>
        <w:t xml:space="preserve"> zákoník</w:t>
      </w:r>
      <w:r w:rsidR="0045267D">
        <w:rPr>
          <w:szCs w:val="24"/>
        </w:rPr>
        <w:t>, ve znění pozdějších předpisů</w:t>
      </w:r>
      <w:r>
        <w:rPr>
          <w:szCs w:val="24"/>
        </w:rPr>
        <w:t xml:space="preserve"> (dále jen „</w:t>
      </w:r>
      <w:r w:rsidRPr="006116CA">
        <w:rPr>
          <w:i/>
          <w:szCs w:val="24"/>
        </w:rPr>
        <w:t>smlouva</w:t>
      </w:r>
      <w:r>
        <w:rPr>
          <w:szCs w:val="24"/>
        </w:rPr>
        <w:t>“)</w:t>
      </w:r>
      <w:r w:rsidRPr="00A87445">
        <w:rPr>
          <w:szCs w:val="24"/>
        </w:rPr>
        <w:t xml:space="preserve">. </w:t>
      </w:r>
    </w:p>
    <w:p w14:paraId="1DCC1BC8" w14:textId="77777777" w:rsidR="004547D6" w:rsidRPr="00C66AD7" w:rsidRDefault="004547D6" w:rsidP="004547D6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A528300" w14:textId="77777777" w:rsidR="004547D6" w:rsidRPr="00C66AD7" w:rsidRDefault="004547D6" w:rsidP="004547D6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A786B73" w14:textId="6B4EA670" w:rsidR="004547D6" w:rsidRPr="003852C6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A87445">
        <w:rPr>
          <w:rFonts w:ascii="Times New Roman" w:hAnsi="Times New Roman" w:cs="Times New Roman"/>
          <w:b/>
          <w:bCs/>
          <w:color w:val="auto"/>
        </w:rPr>
        <w:t>I</w:t>
      </w:r>
      <w:r w:rsidR="0045267D">
        <w:rPr>
          <w:rFonts w:ascii="Times New Roman" w:hAnsi="Times New Roman" w:cs="Times New Roman"/>
          <w:b/>
          <w:bCs/>
          <w:color w:val="auto"/>
        </w:rPr>
        <w:t>I</w:t>
      </w:r>
      <w:r w:rsidRPr="00A87445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48BEC317" w14:textId="77777777" w:rsidR="004547D6" w:rsidRPr="003852C6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3852C6">
        <w:rPr>
          <w:rFonts w:ascii="Times New Roman" w:hAnsi="Times New Roman" w:cs="Times New Roman"/>
          <w:b/>
          <w:bCs/>
          <w:color w:val="auto"/>
        </w:rPr>
        <w:t>Předmět smlouvy</w:t>
      </w:r>
    </w:p>
    <w:p w14:paraId="594F188E" w14:textId="77777777" w:rsidR="004547D6" w:rsidRPr="003852C6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A6DD933" w14:textId="24168D32" w:rsidR="00D973C1" w:rsidRPr="009F439A" w:rsidRDefault="00D973C1" w:rsidP="00D973C1">
      <w:pPr>
        <w:numPr>
          <w:ilvl w:val="0"/>
          <w:numId w:val="17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 xml:space="preserve">Dodavatel se zavazuje v rozsahu, </w:t>
      </w:r>
      <w:r w:rsidRPr="000720B3">
        <w:rPr>
          <w:szCs w:val="24"/>
        </w:rPr>
        <w:t xml:space="preserve">kvalitě a za podmínek stanovených touto smlouvou </w:t>
      </w:r>
      <w:r w:rsidRPr="009F439A">
        <w:rPr>
          <w:szCs w:val="24"/>
        </w:rPr>
        <w:t xml:space="preserve">poskytovat objednateli </w:t>
      </w:r>
      <w:r w:rsidRPr="009F439A">
        <w:t xml:space="preserve">služby </w:t>
      </w:r>
      <w:r w:rsidR="0045267D" w:rsidRPr="009F439A">
        <w:t>technické podp</w:t>
      </w:r>
      <w:r w:rsidR="00803F42" w:rsidRPr="009F439A">
        <w:t>ory</w:t>
      </w:r>
      <w:r w:rsidR="0045267D" w:rsidRPr="009F439A">
        <w:t xml:space="preserve"> </w:t>
      </w:r>
      <w:r w:rsidRPr="009F439A">
        <w:t>uvedené podrobně v příloze č. 1, která je nedílnou součástí této smlouvy</w:t>
      </w:r>
      <w:r w:rsidR="0045267D" w:rsidRPr="009F439A">
        <w:t>,</w:t>
      </w:r>
      <w:r w:rsidRPr="009F439A">
        <w:t xml:space="preserve"> po dobu 36 měsíců. Služby budou poskytovány pro </w:t>
      </w:r>
      <w:proofErr w:type="spellStart"/>
      <w:r w:rsidRPr="009F439A">
        <w:t>VoIP</w:t>
      </w:r>
      <w:proofErr w:type="spellEnd"/>
      <w:r w:rsidRPr="009F439A">
        <w:t xml:space="preserve"> </w:t>
      </w:r>
      <w:proofErr w:type="spellStart"/>
      <w:r w:rsidRPr="009F439A">
        <w:t>Innovaphone</w:t>
      </w:r>
      <w:proofErr w:type="spellEnd"/>
      <w:r w:rsidRPr="009F439A">
        <w:t xml:space="preserve"> (telefonní ústředn</w:t>
      </w:r>
      <w:r w:rsidR="0018298A" w:rsidRPr="009F439A">
        <w:t>y</w:t>
      </w:r>
      <w:r w:rsidR="00AD53B2" w:rsidRPr="009F439A">
        <w:t xml:space="preserve"> </w:t>
      </w:r>
      <w:proofErr w:type="spellStart"/>
      <w:r w:rsidR="00AD53B2" w:rsidRPr="009F439A">
        <w:rPr>
          <w:szCs w:val="24"/>
        </w:rPr>
        <w:t>Innovaphone</w:t>
      </w:r>
      <w:proofErr w:type="spellEnd"/>
      <w:r w:rsidR="0018298A" w:rsidRPr="009F439A">
        <w:rPr>
          <w:szCs w:val="24"/>
        </w:rPr>
        <w:t xml:space="preserve"> IP0013 a</w:t>
      </w:r>
      <w:r w:rsidR="00AD53B2" w:rsidRPr="009F439A">
        <w:rPr>
          <w:szCs w:val="24"/>
        </w:rPr>
        <w:t xml:space="preserve"> IP811, 249 ks IP telefonních </w:t>
      </w:r>
      <w:r w:rsidR="00AD53B2" w:rsidRPr="009F439A">
        <w:rPr>
          <w:szCs w:val="24"/>
        </w:rPr>
        <w:lastRenderedPageBreak/>
        <w:t xml:space="preserve">přístrojů </w:t>
      </w:r>
      <w:proofErr w:type="spellStart"/>
      <w:r w:rsidR="00AD53B2" w:rsidRPr="009F439A">
        <w:rPr>
          <w:szCs w:val="24"/>
        </w:rPr>
        <w:t>Innovaphone</w:t>
      </w:r>
      <w:proofErr w:type="spellEnd"/>
      <w:r w:rsidR="00AD53B2" w:rsidRPr="009F439A">
        <w:rPr>
          <w:szCs w:val="24"/>
        </w:rPr>
        <w:t xml:space="preserve"> IP112</w:t>
      </w:r>
      <w:r w:rsidRPr="009F439A">
        <w:t xml:space="preserve"> a </w:t>
      </w:r>
      <w:r w:rsidR="0018298A" w:rsidRPr="009F439A">
        <w:t>2</w:t>
      </w:r>
      <w:r w:rsidR="00AD53B2" w:rsidRPr="009F439A">
        <w:t xml:space="preserve"> ks</w:t>
      </w:r>
      <w:r w:rsidRPr="009F439A">
        <w:t xml:space="preserve"> </w:t>
      </w:r>
      <w:r w:rsidR="00AD53B2" w:rsidRPr="009F439A">
        <w:t xml:space="preserve">operátorského telefonu </w:t>
      </w:r>
      <w:proofErr w:type="spellStart"/>
      <w:r w:rsidR="00AD53B2" w:rsidRPr="009F439A">
        <w:rPr>
          <w:szCs w:val="24"/>
        </w:rPr>
        <w:t>Innovaphone</w:t>
      </w:r>
      <w:proofErr w:type="spellEnd"/>
      <w:r w:rsidR="00AD53B2" w:rsidRPr="009F439A">
        <w:rPr>
          <w:szCs w:val="24"/>
        </w:rPr>
        <w:t xml:space="preserve"> IP241</w:t>
      </w:r>
      <w:r w:rsidRPr="009F439A">
        <w:t xml:space="preserve"> </w:t>
      </w:r>
      <w:r w:rsidR="0045267D" w:rsidRPr="009F439A">
        <w:t>(</w:t>
      </w:r>
      <w:r w:rsidRPr="009F439A">
        <w:t xml:space="preserve">dále </w:t>
      </w:r>
      <w:r w:rsidR="0045267D" w:rsidRPr="009F439A">
        <w:t xml:space="preserve">jen </w:t>
      </w:r>
      <w:r w:rsidRPr="009F439A">
        <w:t xml:space="preserve">„zařízení“) instalovanou v produkčním prostředí objednatele. </w:t>
      </w:r>
      <w:r w:rsidR="00A72E7A" w:rsidRPr="009F439A">
        <w:rPr>
          <w:szCs w:val="24"/>
        </w:rPr>
        <w:t xml:space="preserve">Specifikace jejího rozsahu je uvedena v čl. </w:t>
      </w:r>
      <w:r w:rsidR="00A87FAC" w:rsidRPr="009F439A">
        <w:rPr>
          <w:szCs w:val="24"/>
        </w:rPr>
        <w:t>IX</w:t>
      </w:r>
      <w:r w:rsidR="00A72E7A" w:rsidRPr="009F439A">
        <w:rPr>
          <w:szCs w:val="24"/>
        </w:rPr>
        <w:t>. této smlouvy.</w:t>
      </w:r>
    </w:p>
    <w:p w14:paraId="73325CA8" w14:textId="25E15BCE" w:rsidR="004547D6" w:rsidRPr="006116CA" w:rsidRDefault="00A72E7A" w:rsidP="00A72E7A">
      <w:pPr>
        <w:numPr>
          <w:ilvl w:val="0"/>
          <w:numId w:val="17"/>
        </w:numPr>
        <w:spacing w:after="120" w:line="240" w:lineRule="auto"/>
        <w:ind w:left="426" w:hanging="426"/>
        <w:rPr>
          <w:color w:val="auto"/>
        </w:rPr>
      </w:pPr>
      <w:r>
        <w:t xml:space="preserve">Dodavatel </w:t>
      </w:r>
      <w:r w:rsidR="004547D6" w:rsidRPr="006116CA">
        <w:t xml:space="preserve">je vázán svou nabídkou předloženou v rámci </w:t>
      </w:r>
      <w:r w:rsidR="0045267D">
        <w:t>zadávacího</w:t>
      </w:r>
      <w:r w:rsidR="0045267D" w:rsidRPr="006116CA">
        <w:t xml:space="preserve"> </w:t>
      </w:r>
      <w:r w:rsidR="004547D6" w:rsidRPr="006116CA">
        <w:t xml:space="preserve">řízení k veřejné zakázce malého rozsahu na </w:t>
      </w:r>
      <w:r>
        <w:t>služby</w:t>
      </w:r>
      <w:r w:rsidR="004547D6" w:rsidRPr="006116CA">
        <w:t xml:space="preserve"> s názvem </w:t>
      </w:r>
      <w:r w:rsidRPr="00A72E7A">
        <w:t>„</w:t>
      </w:r>
      <w:r w:rsidR="00DA7E11">
        <w:t xml:space="preserve">Poskytování služeb </w:t>
      </w:r>
      <w:r w:rsidRPr="00A72E7A">
        <w:t xml:space="preserve">technické podpory pro </w:t>
      </w:r>
      <w:proofErr w:type="spellStart"/>
      <w:r w:rsidRPr="00A72E7A">
        <w:t>VoIP</w:t>
      </w:r>
      <w:proofErr w:type="spellEnd"/>
      <w:r w:rsidRPr="00A72E7A">
        <w:t xml:space="preserve"> </w:t>
      </w:r>
      <w:proofErr w:type="spellStart"/>
      <w:r w:rsidRPr="00A72E7A">
        <w:t>Innovaphone</w:t>
      </w:r>
      <w:proofErr w:type="spellEnd"/>
      <w:r w:rsidRPr="00A72E7A">
        <w:t>“</w:t>
      </w:r>
      <w:r w:rsidR="004547D6" w:rsidRPr="006116CA">
        <w:t xml:space="preserve"> ze dne </w:t>
      </w:r>
      <w:r w:rsidR="00A87FAC" w:rsidRPr="00F841D1">
        <w:rPr>
          <w:b/>
          <w:i/>
          <w:sz w:val="22"/>
          <w:highlight w:val="yellow"/>
        </w:rPr>
        <w:t>(doplní účastník)</w:t>
      </w:r>
      <w:r w:rsidR="004547D6" w:rsidRPr="006116CA">
        <w:t xml:space="preserve">. </w:t>
      </w:r>
    </w:p>
    <w:p w14:paraId="6E197EC8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321B245" w14:textId="6C8C5F00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A87445">
        <w:rPr>
          <w:rFonts w:ascii="Times New Roman" w:hAnsi="Times New Roman" w:cs="Times New Roman"/>
          <w:b/>
          <w:bCs/>
          <w:color w:val="auto"/>
        </w:rPr>
        <w:t>II</w:t>
      </w:r>
      <w:r w:rsidR="0045267D">
        <w:rPr>
          <w:rFonts w:ascii="Times New Roman" w:hAnsi="Times New Roman" w:cs="Times New Roman"/>
          <w:b/>
          <w:bCs/>
          <w:color w:val="auto"/>
        </w:rPr>
        <w:t>I</w:t>
      </w:r>
      <w:r w:rsidRPr="00A87445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1EC0E566" w14:textId="77777777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A87445">
        <w:rPr>
          <w:rFonts w:ascii="Times New Roman" w:hAnsi="Times New Roman" w:cs="Times New Roman"/>
          <w:b/>
          <w:bCs/>
          <w:color w:val="auto"/>
        </w:rPr>
        <w:t>Doba trvání a místo plnění předmětu smlouvy</w:t>
      </w:r>
    </w:p>
    <w:p w14:paraId="692D35D8" w14:textId="77777777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6779DBA" w14:textId="5D8CEB65" w:rsidR="00A72E7A" w:rsidRDefault="00A72E7A" w:rsidP="00A72E7A">
      <w:pPr>
        <w:pStyle w:val="Default"/>
        <w:numPr>
          <w:ilvl w:val="0"/>
          <w:numId w:val="16"/>
        </w:numPr>
        <w:spacing w:after="138"/>
        <w:ind w:left="284" w:hanging="284"/>
        <w:jc w:val="both"/>
        <w:rPr>
          <w:rFonts w:ascii="Times New Roman" w:hAnsi="Times New Roman" w:cs="Times New Roman"/>
          <w:color w:val="auto"/>
        </w:rPr>
      </w:pPr>
      <w:bookmarkStart w:id="0" w:name="_Ref464663414"/>
      <w:r w:rsidRPr="00A72E7A">
        <w:rPr>
          <w:rFonts w:ascii="Times New Roman" w:hAnsi="Times New Roman" w:cs="Times New Roman"/>
          <w:color w:val="auto"/>
        </w:rPr>
        <w:t>Smlouva se uzavírá na dobu 36 měsíců</w:t>
      </w:r>
      <w:r w:rsidR="00183C14">
        <w:rPr>
          <w:rFonts w:ascii="Times New Roman" w:hAnsi="Times New Roman" w:cs="Times New Roman"/>
          <w:color w:val="auto"/>
        </w:rPr>
        <w:t>,</w:t>
      </w:r>
      <w:r w:rsidRPr="00A72E7A">
        <w:rPr>
          <w:rFonts w:ascii="Times New Roman" w:hAnsi="Times New Roman" w:cs="Times New Roman"/>
          <w:color w:val="auto"/>
        </w:rPr>
        <w:t xml:space="preserve"> a to s účinností </w:t>
      </w:r>
      <w:r w:rsidRPr="00FB17F4">
        <w:rPr>
          <w:rFonts w:ascii="Times New Roman" w:hAnsi="Times New Roman" w:cs="Times New Roman"/>
          <w:color w:val="auto"/>
        </w:rPr>
        <w:t xml:space="preserve">od </w:t>
      </w:r>
      <w:r w:rsidR="00FB17F4" w:rsidRPr="00FB17F4">
        <w:rPr>
          <w:rFonts w:ascii="Times New Roman" w:hAnsi="Times New Roman" w:cs="Times New Roman"/>
          <w:color w:val="auto"/>
        </w:rPr>
        <w:t>27. října</w:t>
      </w:r>
      <w:r w:rsidRPr="00FB17F4">
        <w:rPr>
          <w:rFonts w:ascii="Times New Roman" w:hAnsi="Times New Roman" w:cs="Times New Roman"/>
          <w:color w:val="auto"/>
        </w:rPr>
        <w:t xml:space="preserve"> 202</w:t>
      </w:r>
      <w:r w:rsidR="00E630AE">
        <w:rPr>
          <w:rFonts w:ascii="Times New Roman" w:hAnsi="Times New Roman" w:cs="Times New Roman"/>
          <w:color w:val="auto"/>
        </w:rPr>
        <w:t>4</w:t>
      </w:r>
      <w:r w:rsidRPr="00FB17F4">
        <w:rPr>
          <w:rFonts w:ascii="Times New Roman" w:hAnsi="Times New Roman" w:cs="Times New Roman"/>
          <w:color w:val="auto"/>
        </w:rPr>
        <w:t>.</w:t>
      </w:r>
    </w:p>
    <w:p w14:paraId="35EA9E85" w14:textId="3EF1B4B0" w:rsidR="00A72E7A" w:rsidRPr="00A87445" w:rsidRDefault="00A72E7A" w:rsidP="00A72E7A">
      <w:pPr>
        <w:pStyle w:val="Default"/>
        <w:numPr>
          <w:ilvl w:val="0"/>
          <w:numId w:val="16"/>
        </w:numPr>
        <w:spacing w:after="138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7445">
        <w:rPr>
          <w:rFonts w:ascii="Times New Roman" w:hAnsi="Times New Roman" w:cs="Times New Roman"/>
          <w:color w:val="auto"/>
        </w:rPr>
        <w:t>Místem plnění je sídlo objednatele</w:t>
      </w:r>
      <w:r w:rsidR="00803F42">
        <w:rPr>
          <w:rFonts w:ascii="Times New Roman" w:hAnsi="Times New Roman" w:cs="Times New Roman"/>
          <w:color w:val="auto"/>
        </w:rPr>
        <w:t>.</w:t>
      </w:r>
    </w:p>
    <w:bookmarkEnd w:id="0"/>
    <w:p w14:paraId="04D025C4" w14:textId="77777777" w:rsidR="004547D6" w:rsidRPr="00A87445" w:rsidRDefault="004547D6" w:rsidP="004547D6">
      <w:pPr>
        <w:pStyle w:val="Default"/>
        <w:spacing w:after="138"/>
        <w:jc w:val="both"/>
        <w:rPr>
          <w:rFonts w:ascii="Times New Roman" w:hAnsi="Times New Roman" w:cs="Times New Roman"/>
          <w:color w:val="auto"/>
        </w:rPr>
      </w:pPr>
    </w:p>
    <w:p w14:paraId="404594B0" w14:textId="1FF973AA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>I</w:t>
      </w:r>
      <w:r w:rsidR="00A87FAC">
        <w:rPr>
          <w:rFonts w:ascii="Times New Roman" w:hAnsi="Times New Roman" w:cs="Times New Roman"/>
          <w:b/>
          <w:color w:val="auto"/>
        </w:rPr>
        <w:t>V</w:t>
      </w:r>
      <w:r w:rsidRPr="00A87445">
        <w:rPr>
          <w:rFonts w:ascii="Times New Roman" w:hAnsi="Times New Roman" w:cs="Times New Roman"/>
          <w:b/>
          <w:color w:val="auto"/>
        </w:rPr>
        <w:t xml:space="preserve">. </w:t>
      </w:r>
    </w:p>
    <w:p w14:paraId="4865FE87" w14:textId="77777777" w:rsidR="004547D6" w:rsidRPr="00A87445" w:rsidRDefault="006A51B8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Cena</w:t>
      </w:r>
      <w:r w:rsidR="004547D6" w:rsidRPr="00A87445">
        <w:rPr>
          <w:rFonts w:ascii="Times New Roman" w:hAnsi="Times New Roman" w:cs="Times New Roman"/>
          <w:b/>
          <w:color w:val="auto"/>
        </w:rPr>
        <w:t xml:space="preserve"> a platební podmínky</w:t>
      </w:r>
    </w:p>
    <w:p w14:paraId="0BE24BAD" w14:textId="77777777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037DDC08" w14:textId="246FAA39" w:rsidR="004547D6" w:rsidRPr="00A87445" w:rsidRDefault="004547D6" w:rsidP="004547D6">
      <w:pPr>
        <w:numPr>
          <w:ilvl w:val="0"/>
          <w:numId w:val="18"/>
        </w:numPr>
        <w:spacing w:after="120" w:line="240" w:lineRule="auto"/>
        <w:ind w:left="426"/>
        <w:rPr>
          <w:szCs w:val="24"/>
        </w:rPr>
      </w:pPr>
      <w:r w:rsidRPr="00A87445">
        <w:rPr>
          <w:szCs w:val="24"/>
        </w:rPr>
        <w:t xml:space="preserve">Cena za plnění </w:t>
      </w:r>
      <w:r>
        <w:rPr>
          <w:szCs w:val="24"/>
        </w:rPr>
        <w:t>dle čl. I</w:t>
      </w:r>
      <w:r w:rsidR="00E77C87">
        <w:rPr>
          <w:szCs w:val="24"/>
        </w:rPr>
        <w:t>I</w:t>
      </w:r>
      <w:r>
        <w:rPr>
          <w:szCs w:val="24"/>
        </w:rPr>
        <w:t xml:space="preserve">. </w:t>
      </w:r>
      <w:r w:rsidRPr="00A87445">
        <w:rPr>
          <w:szCs w:val="24"/>
        </w:rPr>
        <w:t>je stanovena následovně:</w:t>
      </w:r>
    </w:p>
    <w:p w14:paraId="0E6ECA85" w14:textId="77777777" w:rsidR="004547D6" w:rsidRPr="00A87445" w:rsidRDefault="004547D6" w:rsidP="004547D6">
      <w:pPr>
        <w:spacing w:after="120"/>
        <w:ind w:left="284" w:firstLine="255"/>
        <w:rPr>
          <w:szCs w:val="24"/>
        </w:rPr>
      </w:pPr>
    </w:p>
    <w:tbl>
      <w:tblPr>
        <w:tblW w:w="8180" w:type="dxa"/>
        <w:tblInd w:w="5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770"/>
        <w:gridCol w:w="2410"/>
      </w:tblGrid>
      <w:tr w:rsidR="004547D6" w:rsidRPr="00A87445" w14:paraId="572D0239" w14:textId="77777777" w:rsidTr="00B14822">
        <w:tc>
          <w:tcPr>
            <w:tcW w:w="5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B5BF8DA" w14:textId="77777777" w:rsidR="004547D6" w:rsidRPr="00A87445" w:rsidRDefault="004547D6" w:rsidP="00B14822">
            <w:pPr>
              <w:rPr>
                <w:b/>
                <w:szCs w:val="24"/>
              </w:rPr>
            </w:pPr>
            <w:r w:rsidRPr="00A87445">
              <w:rPr>
                <w:b/>
                <w:szCs w:val="24"/>
              </w:rPr>
              <w:t>Položka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266A74D" w14:textId="77777777" w:rsidR="004547D6" w:rsidRPr="00A87445" w:rsidRDefault="004547D6" w:rsidP="00B14822">
            <w:pPr>
              <w:jc w:val="center"/>
              <w:rPr>
                <w:b/>
                <w:szCs w:val="24"/>
              </w:rPr>
            </w:pPr>
            <w:r w:rsidRPr="00A87445">
              <w:rPr>
                <w:b/>
                <w:szCs w:val="24"/>
              </w:rPr>
              <w:t>Cena bez DPH*</w:t>
            </w:r>
          </w:p>
        </w:tc>
      </w:tr>
      <w:tr w:rsidR="004547D6" w:rsidRPr="00A87445" w14:paraId="7B00B0CF" w14:textId="77777777" w:rsidTr="00B14822">
        <w:tc>
          <w:tcPr>
            <w:tcW w:w="5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588A064" w14:textId="2797C509" w:rsidR="004547D6" w:rsidRPr="00C5593F" w:rsidRDefault="004547D6" w:rsidP="00E80840">
            <w:pPr>
              <w:rPr>
                <w:sz w:val="20"/>
                <w:szCs w:val="20"/>
              </w:rPr>
            </w:pPr>
            <w:r w:rsidRPr="00C5593F">
              <w:rPr>
                <w:sz w:val="20"/>
                <w:szCs w:val="20"/>
              </w:rPr>
              <w:t xml:space="preserve">Poskytování technické podpory </w:t>
            </w:r>
            <w:r w:rsidR="00E630AE">
              <w:rPr>
                <w:sz w:val="20"/>
                <w:szCs w:val="20"/>
              </w:rPr>
              <w:t>na dobu 36 měsíců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57DED2C" w14:textId="76AE340E" w:rsidR="004547D6" w:rsidRPr="00A87445" w:rsidRDefault="00870E0C" w:rsidP="00B14822">
            <w:pPr>
              <w:jc w:val="right"/>
              <w:rPr>
                <w:szCs w:val="24"/>
              </w:rPr>
            </w:pPr>
            <w:r w:rsidRPr="00F841D1">
              <w:rPr>
                <w:b/>
                <w:i/>
                <w:sz w:val="22"/>
                <w:highlight w:val="yellow"/>
              </w:rPr>
              <w:t>(doplní účastník)</w:t>
            </w:r>
          </w:p>
        </w:tc>
      </w:tr>
    </w:tbl>
    <w:p w14:paraId="648BF0E7" w14:textId="77777777" w:rsidR="004547D6" w:rsidRPr="00A87445" w:rsidRDefault="004547D6" w:rsidP="004547D6">
      <w:pPr>
        <w:pStyle w:val="Default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 xml:space="preserve">       *) </w:t>
      </w:r>
      <w:r w:rsidRPr="00A87445">
        <w:rPr>
          <w:rFonts w:ascii="Times New Roman" w:hAnsi="Times New Roman" w:cs="Times New Roman"/>
        </w:rPr>
        <w:t>DPH bude účtována v sazbě platné ke dni uskutečnění zdanitelného plnění.</w:t>
      </w:r>
    </w:p>
    <w:p w14:paraId="67A5C9EC" w14:textId="77777777" w:rsidR="004547D6" w:rsidRPr="003852C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64EA1C56" w14:textId="77777777" w:rsidR="004547D6" w:rsidRPr="00FE6E59" w:rsidRDefault="004547D6" w:rsidP="004547D6">
      <w:pPr>
        <w:numPr>
          <w:ilvl w:val="0"/>
          <w:numId w:val="18"/>
        </w:numPr>
        <w:spacing w:after="120" w:line="240" w:lineRule="auto"/>
        <w:ind w:left="426" w:hanging="426"/>
        <w:rPr>
          <w:szCs w:val="24"/>
        </w:rPr>
      </w:pPr>
      <w:r w:rsidRPr="00ED46EE">
        <w:rPr>
          <w:b/>
          <w:szCs w:val="24"/>
        </w:rPr>
        <w:t xml:space="preserve">Celková cena za poskytování </w:t>
      </w:r>
      <w:r w:rsidR="00ED46EE">
        <w:rPr>
          <w:b/>
          <w:szCs w:val="24"/>
        </w:rPr>
        <w:t>technické podpory</w:t>
      </w:r>
      <w:r w:rsidRPr="003852C6">
        <w:rPr>
          <w:szCs w:val="24"/>
        </w:rPr>
        <w:t xml:space="preserve"> je stanovena za</w:t>
      </w:r>
      <w:r>
        <w:rPr>
          <w:szCs w:val="24"/>
        </w:rPr>
        <w:t xml:space="preserve"> </w:t>
      </w:r>
      <w:r w:rsidR="00ED46EE">
        <w:rPr>
          <w:szCs w:val="24"/>
        </w:rPr>
        <w:t>36</w:t>
      </w:r>
      <w:r>
        <w:rPr>
          <w:szCs w:val="24"/>
        </w:rPr>
        <w:t xml:space="preserve"> měsíců</w:t>
      </w:r>
      <w:r w:rsidRPr="003852C6">
        <w:rPr>
          <w:szCs w:val="24"/>
        </w:rPr>
        <w:t xml:space="preserve">. Fakturace ceny za poskytování </w:t>
      </w:r>
      <w:r w:rsidR="00ED46EE">
        <w:rPr>
          <w:szCs w:val="24"/>
        </w:rPr>
        <w:t xml:space="preserve">technické podpory </w:t>
      </w:r>
      <w:r w:rsidRPr="003852C6">
        <w:rPr>
          <w:szCs w:val="24"/>
        </w:rPr>
        <w:t xml:space="preserve">bude prováděna </w:t>
      </w:r>
      <w:r>
        <w:rPr>
          <w:szCs w:val="24"/>
        </w:rPr>
        <w:t xml:space="preserve">za kalendářní </w:t>
      </w:r>
      <w:r w:rsidRPr="003852C6">
        <w:rPr>
          <w:szCs w:val="24"/>
        </w:rPr>
        <w:t>čtvrtlet</w:t>
      </w:r>
      <w:r>
        <w:rPr>
          <w:szCs w:val="24"/>
        </w:rPr>
        <w:t>í</w:t>
      </w:r>
      <w:r w:rsidRPr="003852C6">
        <w:rPr>
          <w:szCs w:val="24"/>
        </w:rPr>
        <w:t xml:space="preserve"> zpětně</w:t>
      </w:r>
      <w:r w:rsidRPr="00D81BAD">
        <w:rPr>
          <w:szCs w:val="24"/>
        </w:rPr>
        <w:t>. Nedílnou součástí daňového dokladu</w:t>
      </w:r>
      <w:r>
        <w:rPr>
          <w:szCs w:val="24"/>
        </w:rPr>
        <w:t xml:space="preserve"> - </w:t>
      </w:r>
      <w:r w:rsidRPr="00D81BAD">
        <w:rPr>
          <w:szCs w:val="24"/>
        </w:rPr>
        <w:t xml:space="preserve">faktury bude </w:t>
      </w:r>
      <w:r>
        <w:rPr>
          <w:szCs w:val="24"/>
        </w:rPr>
        <w:t xml:space="preserve">objednatelem schválený </w:t>
      </w:r>
      <w:r w:rsidRPr="00D81BAD">
        <w:rPr>
          <w:szCs w:val="24"/>
        </w:rPr>
        <w:t>servisní výkaz</w:t>
      </w:r>
      <w:r>
        <w:rPr>
          <w:szCs w:val="24"/>
        </w:rPr>
        <w:t xml:space="preserve"> </w:t>
      </w:r>
      <w:r w:rsidRPr="00D81BAD">
        <w:rPr>
          <w:szCs w:val="24"/>
        </w:rPr>
        <w:t xml:space="preserve">za fakturované období. </w:t>
      </w:r>
      <w:r>
        <w:rPr>
          <w:szCs w:val="24"/>
        </w:rPr>
        <w:t>Servisní výkaz musí obsahovat údaje o poskytovaných službách za dané období, a to zejména počet otevřených a uzavřených incidentů, údaje o reálných lhůtách, v jakých byly incidenty vyřešeny a způsob jejich vyřešení, případně počet stále otevřených incidentů</w:t>
      </w:r>
      <w:r w:rsidRPr="00264943">
        <w:rPr>
          <w:szCs w:val="24"/>
        </w:rPr>
        <w:t>, kontrolní výpočet sankcí</w:t>
      </w:r>
      <w:r>
        <w:rPr>
          <w:szCs w:val="24"/>
        </w:rPr>
        <w:t xml:space="preserve"> a další údaje, které </w:t>
      </w:r>
      <w:r w:rsidR="00ED46EE">
        <w:rPr>
          <w:szCs w:val="24"/>
        </w:rPr>
        <w:t>dodavatel</w:t>
      </w:r>
      <w:r>
        <w:rPr>
          <w:szCs w:val="24"/>
        </w:rPr>
        <w:t xml:space="preserve"> eviduje v rámci plnění této </w:t>
      </w:r>
      <w:r w:rsidRPr="00CF2846">
        <w:rPr>
          <w:szCs w:val="24"/>
        </w:rPr>
        <w:t>smlouvy, nebo</w:t>
      </w:r>
      <w:r>
        <w:rPr>
          <w:szCs w:val="24"/>
        </w:rPr>
        <w:t xml:space="preserve"> které objednatel v přiměřeném rozsahu požaduje. Fakturu – daňový doklad za poskytování technické podpory lze vystavit nejdříve po schválení servisního výkazu objednatelem. Schválení servisního výkazu nezbavuje objednatele práv z vad.</w:t>
      </w:r>
    </w:p>
    <w:p w14:paraId="044DEEDB" w14:textId="16082E68" w:rsidR="004547D6" w:rsidRPr="003C0393" w:rsidRDefault="004547D6" w:rsidP="004547D6">
      <w:pPr>
        <w:numPr>
          <w:ilvl w:val="0"/>
          <w:numId w:val="18"/>
        </w:numPr>
        <w:spacing w:after="120" w:line="240" w:lineRule="auto"/>
        <w:ind w:left="426" w:hanging="426"/>
        <w:rPr>
          <w:szCs w:val="24"/>
        </w:rPr>
      </w:pPr>
      <w:r w:rsidRPr="00FE6E59">
        <w:rPr>
          <w:szCs w:val="24"/>
        </w:rPr>
        <w:t xml:space="preserve">Vystavený daňový doklad/faktura musí obsahovat veškeré náležitosti dle § 29 zákona č. 235/2004 Sb., o dani z přidané hodnoty, ve znění pozdějších předpisů a informace povinně uváděné na obchodních listinách na základě § 435 </w:t>
      </w:r>
      <w:r w:rsidRPr="00874DEA">
        <w:rPr>
          <w:szCs w:val="24"/>
        </w:rPr>
        <w:t>zákona č. 89/2012 Sb., občanského zákoníku</w:t>
      </w:r>
      <w:r>
        <w:rPr>
          <w:szCs w:val="24"/>
        </w:rPr>
        <w:t xml:space="preserve"> (dále jen „</w:t>
      </w:r>
      <w:r w:rsidR="00803F42">
        <w:rPr>
          <w:i/>
          <w:szCs w:val="24"/>
        </w:rPr>
        <w:t>o</w:t>
      </w:r>
      <w:r w:rsidRPr="00874DEA">
        <w:rPr>
          <w:i/>
          <w:szCs w:val="24"/>
        </w:rPr>
        <w:t>bčanský zákoník</w:t>
      </w:r>
      <w:r>
        <w:rPr>
          <w:szCs w:val="24"/>
        </w:rPr>
        <w:t>“)</w:t>
      </w:r>
      <w:r w:rsidRPr="00FE6E59">
        <w:rPr>
          <w:szCs w:val="24"/>
        </w:rPr>
        <w:t xml:space="preserve">. Faktury budou vystaveny se splatností třicet (30) dní ode dne jejich </w:t>
      </w:r>
      <w:r>
        <w:rPr>
          <w:szCs w:val="24"/>
        </w:rPr>
        <w:t>doručení objednateli</w:t>
      </w:r>
      <w:r w:rsidRPr="00FE6E59">
        <w:rPr>
          <w:szCs w:val="24"/>
        </w:rPr>
        <w:t xml:space="preserve">. Faktura musí být označena názvem veřejné zakázky – </w:t>
      </w:r>
      <w:r w:rsidR="00ED46EE" w:rsidRPr="00A72E7A">
        <w:t>„</w:t>
      </w:r>
      <w:r w:rsidR="00361EB3">
        <w:t>Poskytování služeb technické</w:t>
      </w:r>
      <w:r w:rsidR="00ED46EE" w:rsidRPr="00A72E7A">
        <w:t xml:space="preserve"> podpory pro </w:t>
      </w:r>
      <w:proofErr w:type="spellStart"/>
      <w:r w:rsidR="00ED46EE" w:rsidRPr="00A72E7A">
        <w:t>VoIP</w:t>
      </w:r>
      <w:proofErr w:type="spellEnd"/>
      <w:r w:rsidR="00ED46EE" w:rsidRPr="00A72E7A">
        <w:t xml:space="preserve"> </w:t>
      </w:r>
      <w:proofErr w:type="spellStart"/>
      <w:r w:rsidR="00ED46EE" w:rsidRPr="00A72E7A">
        <w:t>Innovaphone</w:t>
      </w:r>
      <w:proofErr w:type="spellEnd"/>
      <w:r w:rsidR="00ED46EE" w:rsidRPr="00A72E7A">
        <w:t>“</w:t>
      </w:r>
      <w:r w:rsidRPr="00FE6E59">
        <w:rPr>
          <w:szCs w:val="24"/>
        </w:rPr>
        <w:t>. Faktury</w:t>
      </w:r>
      <w:r w:rsidRPr="003C0393">
        <w:rPr>
          <w:szCs w:val="24"/>
        </w:rPr>
        <w:t xml:space="preserve"> budou </w:t>
      </w:r>
      <w:r w:rsidR="00DD0B40">
        <w:rPr>
          <w:szCs w:val="24"/>
        </w:rPr>
        <w:t xml:space="preserve">objednateli </w:t>
      </w:r>
      <w:r w:rsidRPr="003C0393">
        <w:rPr>
          <w:szCs w:val="24"/>
        </w:rPr>
        <w:t>zasílány elektronicky prostřednictvím datové schránky</w:t>
      </w:r>
      <w:r w:rsidR="00DD0B40">
        <w:rPr>
          <w:szCs w:val="24"/>
        </w:rPr>
        <w:t>, případně e-mailem na adresu: podatelna@praha12.cz</w:t>
      </w:r>
      <w:r w:rsidRPr="003C0393">
        <w:rPr>
          <w:szCs w:val="24"/>
        </w:rPr>
        <w:t xml:space="preserve">. Za den úhrady dané faktury bude považován den odepsání fakturované částky z účtu </w:t>
      </w:r>
      <w:r w:rsidR="00ED46EE">
        <w:rPr>
          <w:szCs w:val="24"/>
        </w:rPr>
        <w:t>o</w:t>
      </w:r>
      <w:r w:rsidRPr="003C0393">
        <w:rPr>
          <w:szCs w:val="24"/>
        </w:rPr>
        <w:t>bjednatele.</w:t>
      </w:r>
    </w:p>
    <w:p w14:paraId="3CD0F258" w14:textId="77777777" w:rsidR="004547D6" w:rsidRPr="00C81427" w:rsidRDefault="004547D6" w:rsidP="004547D6">
      <w:pPr>
        <w:numPr>
          <w:ilvl w:val="0"/>
          <w:numId w:val="18"/>
        </w:numPr>
        <w:spacing w:after="120" w:line="240" w:lineRule="auto"/>
        <w:ind w:left="426" w:hanging="426"/>
        <w:rPr>
          <w:szCs w:val="24"/>
        </w:rPr>
      </w:pPr>
      <w:r w:rsidRPr="003C0393">
        <w:rPr>
          <w:szCs w:val="24"/>
        </w:rPr>
        <w:t xml:space="preserve">Objednatel je oprávněn vrátit </w:t>
      </w:r>
      <w:r w:rsidR="00ED46EE">
        <w:rPr>
          <w:szCs w:val="24"/>
        </w:rPr>
        <w:t>dodavateli</w:t>
      </w:r>
      <w:r w:rsidRPr="00E3470B">
        <w:rPr>
          <w:szCs w:val="24"/>
        </w:rPr>
        <w:t xml:space="preserve"> bez zaplacení fakturu, která neobsahuje náležitosti uvedené v předchozích ustanoveních tohoto článku</w:t>
      </w:r>
      <w:r>
        <w:rPr>
          <w:szCs w:val="24"/>
        </w:rPr>
        <w:t xml:space="preserve"> nebo jiné náležitosti vyžadované </w:t>
      </w:r>
      <w:r>
        <w:rPr>
          <w:szCs w:val="24"/>
        </w:rPr>
        <w:lastRenderedPageBreak/>
        <w:t>příslušnými právními předpisy</w:t>
      </w:r>
      <w:r w:rsidRPr="00E3470B">
        <w:rPr>
          <w:szCs w:val="24"/>
        </w:rPr>
        <w:t>. Objednatel je v takovém případě</w:t>
      </w:r>
      <w:r>
        <w:rPr>
          <w:szCs w:val="24"/>
        </w:rPr>
        <w:t>, a to i opakovaně,</w:t>
      </w:r>
      <w:r w:rsidRPr="00E3470B">
        <w:rPr>
          <w:szCs w:val="24"/>
        </w:rPr>
        <w:t xml:space="preserve"> oprávněn, nikoliv však povinen, fak</w:t>
      </w:r>
      <w:r w:rsidRPr="00C81427">
        <w:rPr>
          <w:szCs w:val="24"/>
        </w:rPr>
        <w:t xml:space="preserve">turu </w:t>
      </w:r>
      <w:r w:rsidR="00ED46EE">
        <w:rPr>
          <w:szCs w:val="24"/>
        </w:rPr>
        <w:t>dodavateli</w:t>
      </w:r>
      <w:r w:rsidRPr="00C81427">
        <w:rPr>
          <w:szCs w:val="24"/>
        </w:rPr>
        <w:t xml:space="preserve"> před uplynutím doby splatnosti vrátit, </w:t>
      </w:r>
      <w:r w:rsidR="00ED46EE">
        <w:rPr>
          <w:szCs w:val="24"/>
        </w:rPr>
        <w:t>dodavatel</w:t>
      </w:r>
      <w:r w:rsidRPr="00C81427">
        <w:rPr>
          <w:szCs w:val="24"/>
        </w:rPr>
        <w:t xml:space="preserve"> je povinen fakturu opravit nebo nově vyhotovit. Vrácením faktury se přerušuje doba splatnosti a nová doba počíná běžet znovu ode dne doručení opravené faktury nebo nově vyhotovené faktury.</w:t>
      </w:r>
    </w:p>
    <w:p w14:paraId="36EDE8F2" w14:textId="77777777" w:rsidR="004547D6" w:rsidRPr="00A0550F" w:rsidRDefault="004547D6" w:rsidP="004547D6">
      <w:pPr>
        <w:numPr>
          <w:ilvl w:val="0"/>
          <w:numId w:val="18"/>
        </w:numPr>
        <w:spacing w:after="120" w:line="240" w:lineRule="auto"/>
        <w:ind w:left="426" w:hanging="426"/>
        <w:rPr>
          <w:szCs w:val="24"/>
        </w:rPr>
      </w:pPr>
      <w:r w:rsidRPr="00C81427">
        <w:rPr>
          <w:szCs w:val="24"/>
        </w:rPr>
        <w:t>Daň z přidané hodnoty bude účtována v souladu se zákonem č. 235/2004 Sb., o </w:t>
      </w:r>
      <w:r w:rsidRPr="00A0550F">
        <w:rPr>
          <w:szCs w:val="24"/>
        </w:rPr>
        <w:t xml:space="preserve">dani z přidané hodnoty, ve znění pozdějších předpisů, ke dni uskutečnění zdanitelného plnění. </w:t>
      </w:r>
    </w:p>
    <w:p w14:paraId="600E509F" w14:textId="77777777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2037D342" w14:textId="66BCFE44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>Článek V.</w:t>
      </w:r>
    </w:p>
    <w:p w14:paraId="18B0493F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 xml:space="preserve">Práva a povinnosti </w:t>
      </w:r>
      <w:r w:rsidR="00ED46EE">
        <w:rPr>
          <w:rFonts w:ascii="Times New Roman" w:hAnsi="Times New Roman" w:cs="Times New Roman"/>
          <w:b/>
          <w:color w:val="auto"/>
        </w:rPr>
        <w:t>dodavatele</w:t>
      </w:r>
    </w:p>
    <w:p w14:paraId="3DF6A731" w14:textId="77777777" w:rsidR="00983AD8" w:rsidRPr="00A87445" w:rsidRDefault="00983AD8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3A78CA35" w14:textId="5327869D" w:rsidR="004547D6" w:rsidRPr="00AD2FCB" w:rsidRDefault="00ED46EE" w:rsidP="004E6444">
      <w:pPr>
        <w:numPr>
          <w:ilvl w:val="0"/>
          <w:numId w:val="23"/>
        </w:numPr>
        <w:spacing w:after="120" w:line="240" w:lineRule="auto"/>
        <w:ind w:left="425" w:hanging="425"/>
        <w:rPr>
          <w:szCs w:val="24"/>
          <w:u w:val="single"/>
        </w:rPr>
      </w:pPr>
      <w:r w:rsidRPr="00AD2FCB">
        <w:rPr>
          <w:szCs w:val="24"/>
        </w:rPr>
        <w:t>Dodavatel</w:t>
      </w:r>
      <w:r w:rsidR="004547D6" w:rsidRPr="00AD2FCB">
        <w:rPr>
          <w:szCs w:val="24"/>
        </w:rPr>
        <w:t xml:space="preserve"> se zavazuje spolupracovat s objednatelem a poskytovat mu veškerou nutnou součinnost potřebnou pro řádné poskytování služeb podle této smlouvy. </w:t>
      </w:r>
      <w:r w:rsidRPr="00AD2FCB">
        <w:rPr>
          <w:szCs w:val="24"/>
        </w:rPr>
        <w:t>Dodavatel</w:t>
      </w:r>
      <w:r w:rsidR="004547D6" w:rsidRPr="00AD2FCB">
        <w:rPr>
          <w:szCs w:val="24"/>
        </w:rPr>
        <w:t xml:space="preserve"> je povinen </w:t>
      </w:r>
      <w:r w:rsidR="008E747F" w:rsidRPr="0074693E">
        <w:rPr>
          <w:color w:val="auto"/>
          <w:szCs w:val="24"/>
        </w:rPr>
        <w:t>prostřednictvím datové schránky,</w:t>
      </w:r>
      <w:r w:rsidR="004547D6" w:rsidRPr="0074693E">
        <w:rPr>
          <w:color w:val="auto"/>
          <w:szCs w:val="24"/>
        </w:rPr>
        <w:t xml:space="preserve"> </w:t>
      </w:r>
      <w:r w:rsidR="004547D6" w:rsidRPr="00AD2FCB">
        <w:rPr>
          <w:szCs w:val="24"/>
        </w:rPr>
        <w:t>nebo prostřednictvím e-mailu informovat objednatele o veškerých skutečnostech, které jsou nebo mohou být důležité pro plnění této smlouvy, zejména ho informovat o požadavcích na součinnost.</w:t>
      </w:r>
    </w:p>
    <w:p w14:paraId="46F23110" w14:textId="77777777" w:rsidR="004547D6" w:rsidRDefault="00AD2FCB" w:rsidP="004E6444">
      <w:pPr>
        <w:numPr>
          <w:ilvl w:val="0"/>
          <w:numId w:val="23"/>
        </w:numPr>
        <w:spacing w:after="120" w:line="240" w:lineRule="auto"/>
        <w:ind w:left="425" w:hanging="425"/>
        <w:rPr>
          <w:szCs w:val="24"/>
        </w:rPr>
      </w:pPr>
      <w:r>
        <w:rPr>
          <w:szCs w:val="24"/>
        </w:rPr>
        <w:t>Dodavatel</w:t>
      </w:r>
      <w:r w:rsidR="004547D6" w:rsidRPr="000C1C6E">
        <w:rPr>
          <w:szCs w:val="24"/>
        </w:rPr>
        <w:t xml:space="preserve"> k plnění této </w:t>
      </w:r>
      <w:r w:rsidR="004547D6">
        <w:rPr>
          <w:szCs w:val="24"/>
        </w:rPr>
        <w:t>s</w:t>
      </w:r>
      <w:r w:rsidR="004547D6" w:rsidRPr="000C1C6E">
        <w:rPr>
          <w:szCs w:val="24"/>
        </w:rPr>
        <w:t xml:space="preserve">mlouvy </w:t>
      </w:r>
      <w:r w:rsidR="004547D6">
        <w:rPr>
          <w:szCs w:val="24"/>
        </w:rPr>
        <w:t xml:space="preserve">smí </w:t>
      </w:r>
      <w:r w:rsidR="004547D6" w:rsidRPr="000C1C6E">
        <w:rPr>
          <w:szCs w:val="24"/>
        </w:rPr>
        <w:t xml:space="preserve">využít pouze </w:t>
      </w:r>
      <w:r w:rsidR="004547D6">
        <w:rPr>
          <w:szCs w:val="24"/>
        </w:rPr>
        <w:t xml:space="preserve">ty technické poradce, jejichž seznam tvoří přílohu </w:t>
      </w:r>
      <w:r w:rsidR="004547D6" w:rsidRPr="000C1C6E">
        <w:rPr>
          <w:szCs w:val="24"/>
        </w:rPr>
        <w:t xml:space="preserve">č. </w:t>
      </w:r>
      <w:r>
        <w:rPr>
          <w:szCs w:val="24"/>
        </w:rPr>
        <w:t>2</w:t>
      </w:r>
      <w:r w:rsidR="004547D6">
        <w:rPr>
          <w:szCs w:val="24"/>
        </w:rPr>
        <w:t xml:space="preserve"> </w:t>
      </w:r>
      <w:proofErr w:type="gramStart"/>
      <w:r w:rsidR="004547D6">
        <w:rPr>
          <w:szCs w:val="24"/>
        </w:rPr>
        <w:t>této</w:t>
      </w:r>
      <w:proofErr w:type="gramEnd"/>
      <w:r w:rsidR="004547D6">
        <w:rPr>
          <w:szCs w:val="24"/>
        </w:rPr>
        <w:t xml:space="preserve"> smlouvy. </w:t>
      </w:r>
    </w:p>
    <w:p w14:paraId="54511C89" w14:textId="517D3CC3" w:rsidR="004547D6" w:rsidRPr="000D3D60" w:rsidRDefault="004547D6" w:rsidP="004E6444">
      <w:pPr>
        <w:numPr>
          <w:ilvl w:val="0"/>
          <w:numId w:val="23"/>
        </w:numPr>
        <w:spacing w:after="120" w:line="240" w:lineRule="auto"/>
        <w:ind w:left="425" w:hanging="425"/>
      </w:pPr>
      <w:r>
        <w:rPr>
          <w:szCs w:val="24"/>
        </w:rPr>
        <w:t xml:space="preserve">Jakékoliv změny či obměny technických poradců, jejichž prostřednictvím prokazoval </w:t>
      </w:r>
      <w:r w:rsidR="00AD2FCB">
        <w:rPr>
          <w:szCs w:val="24"/>
        </w:rPr>
        <w:t>dodavatel</w:t>
      </w:r>
      <w:r>
        <w:rPr>
          <w:szCs w:val="24"/>
        </w:rPr>
        <w:t xml:space="preserve"> splnění technické kvalifikace v rámci výběrového řízení, jsou možné jen za předchozího souhlasu objednatele a pouze za předpokladu, že technický poradce, který má </w:t>
      </w:r>
      <w:r w:rsidRPr="000D3D60">
        <w:t xml:space="preserve">nahradit původního </w:t>
      </w:r>
      <w:r>
        <w:t xml:space="preserve">technického poradce, disponuje </w:t>
      </w:r>
      <w:r w:rsidRPr="000D3D60">
        <w:t>stejnou ne</w:t>
      </w:r>
      <w:r>
        <w:t xml:space="preserve">bo vyšší kvalifikací (technickou kvalifikací prokazovanou </w:t>
      </w:r>
      <w:r w:rsidR="009F439A">
        <w:t>v zadávacím</w:t>
      </w:r>
      <w:r>
        <w:t xml:space="preserve"> řízení původním technickým poradcem)</w:t>
      </w:r>
      <w:r w:rsidRPr="000D3D60">
        <w:t xml:space="preserve">, jako </w:t>
      </w:r>
      <w:r>
        <w:t>technický poradce</w:t>
      </w:r>
      <w:r w:rsidRPr="000D3D60">
        <w:t xml:space="preserve"> původní. </w:t>
      </w:r>
    </w:p>
    <w:p w14:paraId="46C098EC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</w:rPr>
      </w:pPr>
    </w:p>
    <w:p w14:paraId="65B777D0" w14:textId="7B735735" w:rsidR="004547D6" w:rsidRPr="005B02F7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B02F7">
        <w:rPr>
          <w:rFonts w:ascii="Times New Roman" w:hAnsi="Times New Roman" w:cs="Times New Roman"/>
          <w:b/>
          <w:color w:val="auto"/>
        </w:rPr>
        <w:t>Článek V</w:t>
      </w:r>
      <w:r w:rsidR="00361EB3">
        <w:rPr>
          <w:rFonts w:ascii="Times New Roman" w:hAnsi="Times New Roman" w:cs="Times New Roman"/>
          <w:b/>
          <w:color w:val="auto"/>
        </w:rPr>
        <w:t>I</w:t>
      </w:r>
      <w:r w:rsidRPr="005B02F7">
        <w:rPr>
          <w:rFonts w:ascii="Times New Roman" w:hAnsi="Times New Roman" w:cs="Times New Roman"/>
          <w:b/>
          <w:color w:val="auto"/>
        </w:rPr>
        <w:t>.</w:t>
      </w:r>
    </w:p>
    <w:p w14:paraId="4A7C5DD9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B02F7">
        <w:rPr>
          <w:rFonts w:ascii="Times New Roman" w:hAnsi="Times New Roman" w:cs="Times New Roman"/>
          <w:b/>
          <w:color w:val="auto"/>
        </w:rPr>
        <w:t xml:space="preserve">Práva a povinnosti </w:t>
      </w:r>
      <w:r>
        <w:rPr>
          <w:rFonts w:ascii="Times New Roman" w:hAnsi="Times New Roman" w:cs="Times New Roman"/>
          <w:b/>
          <w:color w:val="auto"/>
        </w:rPr>
        <w:t>objednatele</w:t>
      </w:r>
    </w:p>
    <w:p w14:paraId="20292E44" w14:textId="77777777" w:rsidR="00983AD8" w:rsidRPr="005B02F7" w:rsidRDefault="00983AD8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66E0B7C6" w14:textId="10EB9B67" w:rsidR="004547D6" w:rsidRDefault="004547D6" w:rsidP="004E6444">
      <w:pPr>
        <w:numPr>
          <w:ilvl w:val="0"/>
          <w:numId w:val="25"/>
        </w:numPr>
        <w:spacing w:after="120" w:line="240" w:lineRule="auto"/>
        <w:rPr>
          <w:szCs w:val="24"/>
        </w:rPr>
      </w:pPr>
      <w:r w:rsidRPr="003852C6">
        <w:rPr>
          <w:szCs w:val="24"/>
        </w:rPr>
        <w:t xml:space="preserve">Objednatel se zavazuje poskytnout </w:t>
      </w:r>
      <w:r w:rsidR="00392E8E">
        <w:rPr>
          <w:szCs w:val="24"/>
        </w:rPr>
        <w:t>dodavateli</w:t>
      </w:r>
      <w:r w:rsidRPr="003852C6">
        <w:rPr>
          <w:szCs w:val="24"/>
        </w:rPr>
        <w:t xml:space="preserve"> součinnost </w:t>
      </w:r>
      <w:r>
        <w:rPr>
          <w:szCs w:val="24"/>
        </w:rPr>
        <w:t xml:space="preserve">nezbytnou </w:t>
      </w:r>
      <w:r w:rsidRPr="003852C6">
        <w:rPr>
          <w:szCs w:val="24"/>
        </w:rPr>
        <w:t>k </w:t>
      </w:r>
      <w:r>
        <w:rPr>
          <w:szCs w:val="24"/>
        </w:rPr>
        <w:t xml:space="preserve">řádnému </w:t>
      </w:r>
      <w:r w:rsidRPr="003852C6">
        <w:rPr>
          <w:szCs w:val="24"/>
        </w:rPr>
        <w:t xml:space="preserve">plnění </w:t>
      </w:r>
      <w:r>
        <w:rPr>
          <w:szCs w:val="24"/>
        </w:rPr>
        <w:t xml:space="preserve">povinností </w:t>
      </w:r>
      <w:r w:rsidR="00AD2FCB">
        <w:rPr>
          <w:szCs w:val="24"/>
        </w:rPr>
        <w:t xml:space="preserve">dodavatele </w:t>
      </w:r>
      <w:r w:rsidRPr="003852C6">
        <w:rPr>
          <w:szCs w:val="24"/>
        </w:rPr>
        <w:t>dle čl. I</w:t>
      </w:r>
      <w:r w:rsidR="00361EB3">
        <w:rPr>
          <w:szCs w:val="24"/>
        </w:rPr>
        <w:t>I</w:t>
      </w:r>
      <w:r w:rsidRPr="003852C6">
        <w:rPr>
          <w:szCs w:val="24"/>
        </w:rPr>
        <w:t xml:space="preserve">. smlouvy. Objednatel se zejména zavazuje předávat </w:t>
      </w:r>
      <w:r w:rsidR="00AD2FCB">
        <w:rPr>
          <w:szCs w:val="24"/>
        </w:rPr>
        <w:t>dodavateli</w:t>
      </w:r>
      <w:r w:rsidRPr="003852C6">
        <w:rPr>
          <w:szCs w:val="24"/>
        </w:rPr>
        <w:t xml:space="preserve"> </w:t>
      </w:r>
      <w:r>
        <w:rPr>
          <w:szCs w:val="24"/>
        </w:rPr>
        <w:t>nezbytné</w:t>
      </w:r>
      <w:r w:rsidR="00EE7B2F">
        <w:rPr>
          <w:szCs w:val="24"/>
        </w:rPr>
        <w:t>,</w:t>
      </w:r>
      <w:r w:rsidRPr="003852C6">
        <w:rPr>
          <w:szCs w:val="24"/>
        </w:rPr>
        <w:t xml:space="preserve"> </w:t>
      </w:r>
      <w:r w:rsidR="00AD2FCB">
        <w:rPr>
          <w:szCs w:val="24"/>
        </w:rPr>
        <w:t>dodavatelem</w:t>
      </w:r>
      <w:r w:rsidRPr="003852C6">
        <w:rPr>
          <w:szCs w:val="24"/>
        </w:rPr>
        <w:t xml:space="preserve"> </w:t>
      </w:r>
      <w:r>
        <w:rPr>
          <w:szCs w:val="24"/>
        </w:rPr>
        <w:t xml:space="preserve">důvodně </w:t>
      </w:r>
      <w:r w:rsidRPr="003852C6">
        <w:rPr>
          <w:szCs w:val="24"/>
        </w:rPr>
        <w:t>vyžádané informace a podklady pro provádění řádného plnění včetně předání kontaktů na třetí osoby a předání požadavků na součinnost třetím osobám, které jsou stávajícími dodavateli objednatele (zejména součinnost s poskytovatelem telefonních služeb pro napojení zařízení do veřejné telefonní sítě).</w:t>
      </w:r>
      <w:r>
        <w:rPr>
          <w:szCs w:val="24"/>
        </w:rPr>
        <w:t xml:space="preserve"> Rozsah součinnosti dle přílohy č. 1 je pouze předpokládaný rozsah, přičemž skutečný rozsah se řídí s přihlédnutím k tomuto </w:t>
      </w:r>
      <w:r w:rsidR="00EE7B2F">
        <w:rPr>
          <w:szCs w:val="24"/>
        </w:rPr>
        <w:t>odstavci</w:t>
      </w:r>
      <w:r>
        <w:rPr>
          <w:szCs w:val="24"/>
        </w:rPr>
        <w:t xml:space="preserve">, tj. součinnost bude poskytována v rozsahu nezbytném pro umožnění řádného plnění povinností </w:t>
      </w:r>
      <w:r w:rsidR="00AD2FCB">
        <w:rPr>
          <w:szCs w:val="24"/>
        </w:rPr>
        <w:t>dodavatele</w:t>
      </w:r>
      <w:r>
        <w:rPr>
          <w:szCs w:val="24"/>
        </w:rPr>
        <w:t xml:space="preserve"> a</w:t>
      </w:r>
      <w:r w:rsidR="00DE79B6">
        <w:rPr>
          <w:szCs w:val="24"/>
        </w:rPr>
        <w:t> </w:t>
      </w:r>
      <w:r>
        <w:rPr>
          <w:szCs w:val="24"/>
        </w:rPr>
        <w:t xml:space="preserve">v případě rozporu přílohy č. 1 s touto zásadou se uplatní rozsah pro objednatele příznivější. </w:t>
      </w:r>
    </w:p>
    <w:p w14:paraId="55F7154C" w14:textId="77777777" w:rsidR="004547D6" w:rsidRDefault="004547D6" w:rsidP="004E6444">
      <w:pPr>
        <w:numPr>
          <w:ilvl w:val="0"/>
          <w:numId w:val="25"/>
        </w:numPr>
        <w:spacing w:after="120" w:line="240" w:lineRule="auto"/>
        <w:rPr>
          <w:szCs w:val="24"/>
        </w:rPr>
      </w:pPr>
      <w:r w:rsidRPr="003852C6">
        <w:rPr>
          <w:szCs w:val="24"/>
        </w:rPr>
        <w:t xml:space="preserve">Pokud objednatel neposkytne dohodnutou součinnost, nebo neposkytne součinnost třetí osoba na požadavek objednatele, má </w:t>
      </w:r>
      <w:r w:rsidR="00AD2FCB">
        <w:rPr>
          <w:szCs w:val="24"/>
        </w:rPr>
        <w:t>dodavatel</w:t>
      </w:r>
      <w:r w:rsidRPr="003852C6">
        <w:rPr>
          <w:szCs w:val="24"/>
        </w:rPr>
        <w:t xml:space="preserve"> právo požadovat na objednateli posunutí </w:t>
      </w:r>
      <w:r>
        <w:rPr>
          <w:szCs w:val="24"/>
        </w:rPr>
        <w:t xml:space="preserve">příslušného termínu dané konkrétní části plnění </w:t>
      </w:r>
      <w:r w:rsidRPr="003852C6">
        <w:rPr>
          <w:szCs w:val="24"/>
        </w:rPr>
        <w:t xml:space="preserve">o čas, po který nemohl </w:t>
      </w:r>
      <w:r w:rsidR="00AD2FCB">
        <w:rPr>
          <w:szCs w:val="24"/>
        </w:rPr>
        <w:t>dodavatel</w:t>
      </w:r>
      <w:r w:rsidRPr="003852C6">
        <w:rPr>
          <w:szCs w:val="24"/>
        </w:rPr>
        <w:t xml:space="preserve"> pracovat na </w:t>
      </w:r>
      <w:r>
        <w:rPr>
          <w:szCs w:val="24"/>
        </w:rPr>
        <w:t>dané konkrétní části plnění</w:t>
      </w:r>
      <w:r w:rsidRPr="003852C6">
        <w:rPr>
          <w:szCs w:val="24"/>
        </w:rPr>
        <w:t>.</w:t>
      </w:r>
    </w:p>
    <w:p w14:paraId="02F8F3CF" w14:textId="77777777" w:rsidR="004547D6" w:rsidRDefault="004547D6" w:rsidP="004E6444">
      <w:pPr>
        <w:numPr>
          <w:ilvl w:val="0"/>
          <w:numId w:val="25"/>
        </w:numPr>
        <w:spacing w:after="120" w:line="240" w:lineRule="auto"/>
        <w:rPr>
          <w:szCs w:val="24"/>
        </w:rPr>
      </w:pPr>
      <w:r w:rsidRPr="00D81BAD">
        <w:rPr>
          <w:szCs w:val="24"/>
        </w:rPr>
        <w:t xml:space="preserve">Objednatel je seznámen s tím, že během </w:t>
      </w:r>
      <w:r w:rsidR="00AD2FCB">
        <w:rPr>
          <w:szCs w:val="24"/>
        </w:rPr>
        <w:t>p</w:t>
      </w:r>
      <w:r w:rsidR="00AD2FCB" w:rsidRPr="00AD2FCB">
        <w:rPr>
          <w:szCs w:val="24"/>
        </w:rPr>
        <w:t>oskytování technické podpory</w:t>
      </w:r>
      <w:r w:rsidRPr="00D81BAD">
        <w:rPr>
          <w:szCs w:val="24"/>
        </w:rPr>
        <w:t xml:space="preserve"> </w:t>
      </w:r>
      <w:r>
        <w:rPr>
          <w:szCs w:val="24"/>
        </w:rPr>
        <w:t>může dojít</w:t>
      </w:r>
      <w:r w:rsidRPr="00D81BAD">
        <w:rPr>
          <w:szCs w:val="24"/>
        </w:rPr>
        <w:t xml:space="preserve"> k</w:t>
      </w:r>
      <w:r>
        <w:rPr>
          <w:szCs w:val="24"/>
        </w:rPr>
        <w:t> </w:t>
      </w:r>
      <w:r w:rsidRPr="00D81BAD">
        <w:rPr>
          <w:szCs w:val="24"/>
        </w:rPr>
        <w:t>výpadkům</w:t>
      </w:r>
      <w:r>
        <w:rPr>
          <w:szCs w:val="24"/>
        </w:rPr>
        <w:t>, omezení</w:t>
      </w:r>
      <w:r w:rsidRPr="00D81BAD">
        <w:rPr>
          <w:szCs w:val="24"/>
        </w:rPr>
        <w:t xml:space="preserve"> nebo přerušení provozu</w:t>
      </w:r>
      <w:r>
        <w:rPr>
          <w:szCs w:val="24"/>
        </w:rPr>
        <w:t xml:space="preserve"> (dodávka elektrické energie, telefonní služby, počítačová síť objednatele). </w:t>
      </w:r>
      <w:r w:rsidR="00AD2FCB">
        <w:rPr>
          <w:szCs w:val="24"/>
        </w:rPr>
        <w:t>Dodavatel</w:t>
      </w:r>
      <w:r w:rsidRPr="00D81BAD">
        <w:rPr>
          <w:szCs w:val="24"/>
        </w:rPr>
        <w:t xml:space="preserve"> </w:t>
      </w:r>
      <w:r>
        <w:rPr>
          <w:szCs w:val="24"/>
        </w:rPr>
        <w:t xml:space="preserve">je povinen </w:t>
      </w:r>
      <w:r w:rsidRPr="00D81BAD">
        <w:rPr>
          <w:szCs w:val="24"/>
        </w:rPr>
        <w:t xml:space="preserve">výpadky provozu </w:t>
      </w:r>
      <w:r>
        <w:rPr>
          <w:szCs w:val="24"/>
        </w:rPr>
        <w:t>minimalizovat jak co do množství výskytu, tak do délky trvání a dále je povinen zajistit minimalizaci jejich dopadů do činnosti objednatele.</w:t>
      </w:r>
    </w:p>
    <w:p w14:paraId="23ADEE98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62A6FF02" w14:textId="0B05395C" w:rsidR="004547D6" w:rsidRPr="005B02F7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B02F7">
        <w:rPr>
          <w:rFonts w:ascii="Times New Roman" w:hAnsi="Times New Roman" w:cs="Times New Roman"/>
          <w:b/>
          <w:color w:val="auto"/>
        </w:rPr>
        <w:t>Článek V</w:t>
      </w:r>
      <w:r>
        <w:rPr>
          <w:rFonts w:ascii="Times New Roman" w:hAnsi="Times New Roman" w:cs="Times New Roman"/>
          <w:b/>
          <w:color w:val="auto"/>
        </w:rPr>
        <w:t>I</w:t>
      </w:r>
      <w:r w:rsidR="00361EB3">
        <w:rPr>
          <w:rFonts w:ascii="Times New Roman" w:hAnsi="Times New Roman" w:cs="Times New Roman"/>
          <w:b/>
          <w:color w:val="auto"/>
        </w:rPr>
        <w:t>I</w:t>
      </w:r>
      <w:r w:rsidRPr="005B02F7">
        <w:rPr>
          <w:rFonts w:ascii="Times New Roman" w:hAnsi="Times New Roman" w:cs="Times New Roman"/>
          <w:b/>
          <w:color w:val="auto"/>
        </w:rPr>
        <w:t>.</w:t>
      </w:r>
    </w:p>
    <w:p w14:paraId="3B91CCA3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983AD8">
        <w:rPr>
          <w:rFonts w:ascii="Times New Roman" w:hAnsi="Times New Roman" w:cs="Times New Roman"/>
          <w:b/>
          <w:color w:val="auto"/>
        </w:rPr>
        <w:t>Licence k autorským dílům</w:t>
      </w:r>
    </w:p>
    <w:p w14:paraId="63646C0B" w14:textId="77777777" w:rsidR="00983AD8" w:rsidRPr="00A87445" w:rsidRDefault="00983AD8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1E91D23E" w14:textId="5DA7C01C" w:rsidR="004547D6" w:rsidRPr="00E630AE" w:rsidRDefault="004547D6" w:rsidP="004E6444">
      <w:pPr>
        <w:pStyle w:val="Clanek11"/>
        <w:numPr>
          <w:ilvl w:val="1"/>
          <w:numId w:val="24"/>
        </w:numPr>
        <w:rPr>
          <w:sz w:val="24"/>
          <w:szCs w:val="24"/>
        </w:rPr>
      </w:pPr>
      <w:r w:rsidRPr="00E630AE">
        <w:rPr>
          <w:sz w:val="24"/>
          <w:szCs w:val="24"/>
        </w:rPr>
        <w:t>K autorským dílům, počítačovým programům a databázím (</w:t>
      </w:r>
      <w:r w:rsidR="000720B3" w:rsidRPr="00E630AE">
        <w:rPr>
          <w:sz w:val="24"/>
          <w:szCs w:val="24"/>
        </w:rPr>
        <w:t>dále jen „</w:t>
      </w:r>
      <w:r w:rsidRPr="00E630AE">
        <w:rPr>
          <w:sz w:val="24"/>
          <w:szCs w:val="24"/>
        </w:rPr>
        <w:t xml:space="preserve">dílo“), dodaným na základě této smlouvy, poskytuje </w:t>
      </w:r>
      <w:r w:rsidR="00AD2FCB" w:rsidRPr="00E630AE">
        <w:rPr>
          <w:sz w:val="24"/>
          <w:szCs w:val="24"/>
        </w:rPr>
        <w:t>dodavatel</w:t>
      </w:r>
      <w:r w:rsidRPr="00E630AE">
        <w:rPr>
          <w:sz w:val="24"/>
          <w:szCs w:val="24"/>
        </w:rPr>
        <w:t xml:space="preserve"> objednateli nevýhradní oprávnění k výkonu práva užít (licenci, resp. podlicenci) veškerá taková díla a k výkonu práva vytěžovat a zužitkovat veškeré takové databáze, a to v územně neomezeném rozsahu a všemi způsoby odpovídajícími účelu, pro který je takové dílo, určeno, a to na celou dobu trvání majetkových práv autora (resp. práva pořizovatele databáze), a v potřebném množstevním rozsahu dle této smlouvy. </w:t>
      </w:r>
    </w:p>
    <w:p w14:paraId="5B3B4BBF" w14:textId="6276283B" w:rsidR="004547D6" w:rsidRPr="00E630AE" w:rsidRDefault="00AD2FCB" w:rsidP="004E6444">
      <w:pPr>
        <w:pStyle w:val="Clanek11"/>
        <w:numPr>
          <w:ilvl w:val="1"/>
          <w:numId w:val="24"/>
        </w:numPr>
        <w:rPr>
          <w:sz w:val="24"/>
          <w:szCs w:val="24"/>
        </w:rPr>
      </w:pPr>
      <w:r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prohlašuje a zavazuje se, že je oprávněn objednateli licenci udělit a že udělením licence za podmínek této smlouvy nebudou porušena práva duševního vlastnictví třetí osoby. V případech výslovně uvedených v příloze č. 1 této smlouvy, kde </w:t>
      </w:r>
      <w:r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neuděluje přímo licenci objednateli, je povinen </w:t>
      </w:r>
      <w:r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zajistit, aby byla objednateli udělena licence v rozsahu alespoň dle tohoto čl. V</w:t>
      </w:r>
      <w:r w:rsidR="00361EB3" w:rsidRPr="00E630AE">
        <w:rPr>
          <w:sz w:val="24"/>
          <w:szCs w:val="24"/>
        </w:rPr>
        <w:t>I</w:t>
      </w:r>
      <w:r w:rsidR="004547D6" w:rsidRPr="00E630AE">
        <w:rPr>
          <w:sz w:val="24"/>
          <w:szCs w:val="24"/>
        </w:rPr>
        <w:t>I. V případě, že by třetí osoba vznesla vůči objednateli jakékoliv nároky z porušení práv duševního vlastnictví v souvislosti s touto smlouvou</w:t>
      </w:r>
      <w:r w:rsidR="004547D6" w:rsidRPr="00E630AE">
        <w:rPr>
          <w:rFonts w:cs="Times New Roman"/>
          <w:sz w:val="24"/>
          <w:szCs w:val="24"/>
        </w:rPr>
        <w:t>,</w:t>
      </w:r>
      <w:r w:rsidR="004547D6" w:rsidRPr="00E630AE">
        <w:rPr>
          <w:sz w:val="24"/>
          <w:szCs w:val="24"/>
        </w:rPr>
        <w:t xml:space="preserve"> zavazuje se </w:t>
      </w:r>
      <w:r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přijmout taková opatření, aby objednatel byl oprávněn nerušeně </w:t>
      </w:r>
      <w:r w:rsidR="004547D6" w:rsidRPr="00E630AE">
        <w:rPr>
          <w:rFonts w:cs="Times New Roman"/>
          <w:sz w:val="24"/>
          <w:szCs w:val="24"/>
        </w:rPr>
        <w:t>předmět díla dle s</w:t>
      </w:r>
      <w:r w:rsidR="004547D6" w:rsidRPr="00E630AE">
        <w:rPr>
          <w:sz w:val="24"/>
          <w:szCs w:val="24"/>
        </w:rPr>
        <w:t xml:space="preserve">mlouvy, zejména zajistit pro objednatele udělení licence v rozsahu dle této smlouvy na náklady </w:t>
      </w:r>
      <w:r w:rsidR="00BB3067" w:rsidRPr="00E630AE">
        <w:rPr>
          <w:sz w:val="24"/>
          <w:szCs w:val="24"/>
        </w:rPr>
        <w:t>dodavatele</w:t>
      </w:r>
      <w:r w:rsidR="004547D6" w:rsidRPr="00E630AE">
        <w:rPr>
          <w:sz w:val="24"/>
          <w:szCs w:val="24"/>
        </w:rPr>
        <w:t xml:space="preserve"> bez dalších nákladů a požadavků na úplatu od objednatele. V případě, že jakákoliv třetí osoba uplatní nárok z důvodu porušení práv duševního vlastnictví </w:t>
      </w:r>
      <w:r w:rsidR="004547D6" w:rsidRPr="00E630AE">
        <w:rPr>
          <w:rFonts w:cs="Times New Roman"/>
          <w:sz w:val="24"/>
          <w:szCs w:val="24"/>
        </w:rPr>
        <w:t>předmětu díla</w:t>
      </w:r>
      <w:r w:rsidR="004547D6" w:rsidRPr="00E630AE">
        <w:rPr>
          <w:sz w:val="24"/>
          <w:szCs w:val="24"/>
        </w:rPr>
        <w:t xml:space="preserve">, jež </w:t>
      </w:r>
      <w:r w:rsidR="00BB3067"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předal objednateli, je </w:t>
      </w:r>
      <w:r w:rsidR="00BB3067"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povinen nahradit objednateli veškerou újmu takto způsobenou. </w:t>
      </w:r>
      <w:r w:rsidR="00BB3067"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se v takovém případě dále zavazuje na svůj náklad poskytnout objednateli veškerou možnou součinnost k ochraně jeho práv z licence.</w:t>
      </w:r>
    </w:p>
    <w:p w14:paraId="0CD5B336" w14:textId="77777777" w:rsidR="004547D6" w:rsidRPr="00E630AE" w:rsidRDefault="004547D6" w:rsidP="004E6444">
      <w:pPr>
        <w:pStyle w:val="Clanek11"/>
        <w:numPr>
          <w:ilvl w:val="1"/>
          <w:numId w:val="24"/>
        </w:numPr>
        <w:rPr>
          <w:sz w:val="24"/>
          <w:szCs w:val="24"/>
        </w:rPr>
      </w:pPr>
      <w:r w:rsidRPr="00E630AE">
        <w:rPr>
          <w:sz w:val="24"/>
          <w:szCs w:val="24"/>
        </w:rPr>
        <w:t>Odměna za poskytnutí licencí je již zahrnuta v ceně.</w:t>
      </w:r>
    </w:p>
    <w:p w14:paraId="7D48C367" w14:textId="77777777" w:rsidR="004547D6" w:rsidRPr="00E630AE" w:rsidRDefault="004547D6" w:rsidP="004E6444">
      <w:pPr>
        <w:pStyle w:val="Clanek11"/>
        <w:numPr>
          <w:ilvl w:val="1"/>
          <w:numId w:val="24"/>
        </w:numPr>
        <w:rPr>
          <w:rFonts w:cs="Times New Roman"/>
          <w:sz w:val="24"/>
          <w:szCs w:val="24"/>
        </w:rPr>
      </w:pPr>
      <w:r w:rsidRPr="00E630AE">
        <w:rPr>
          <w:rFonts w:cs="Times New Roman"/>
          <w:sz w:val="24"/>
          <w:szCs w:val="24"/>
        </w:rPr>
        <w:t xml:space="preserve">Veškerá data zpracovávána při plnění dle této smlouvy jsou ve vlastnictví objednatele. </w:t>
      </w:r>
    </w:p>
    <w:p w14:paraId="6B7D4DBC" w14:textId="77777777" w:rsidR="004547D6" w:rsidRPr="006D2B03" w:rsidRDefault="004547D6" w:rsidP="004E6444">
      <w:pPr>
        <w:pStyle w:val="Clanek11"/>
        <w:numPr>
          <w:ilvl w:val="1"/>
          <w:numId w:val="24"/>
        </w:numPr>
        <w:rPr>
          <w:sz w:val="24"/>
        </w:rPr>
      </w:pPr>
      <w:r w:rsidRPr="00E630AE">
        <w:rPr>
          <w:sz w:val="24"/>
          <w:szCs w:val="24"/>
        </w:rPr>
        <w:t>Licence</w:t>
      </w:r>
      <w:r w:rsidRPr="006D2B03">
        <w:rPr>
          <w:sz w:val="24"/>
        </w:rPr>
        <w:t xml:space="preserve"> není Objednatel povinen využít.</w:t>
      </w:r>
    </w:p>
    <w:p w14:paraId="411C274C" w14:textId="77777777" w:rsidR="004547D6" w:rsidRPr="003852C6" w:rsidRDefault="004547D6" w:rsidP="004547D6">
      <w:pPr>
        <w:spacing w:after="120" w:line="240" w:lineRule="auto"/>
        <w:ind w:left="425"/>
        <w:rPr>
          <w:szCs w:val="24"/>
        </w:rPr>
      </w:pPr>
    </w:p>
    <w:p w14:paraId="701C6E24" w14:textId="69F246E8" w:rsidR="004547D6" w:rsidRPr="00761B99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761B99">
        <w:rPr>
          <w:rFonts w:ascii="Times New Roman" w:hAnsi="Times New Roman" w:cs="Times New Roman"/>
          <w:b/>
        </w:rPr>
        <w:t>Článek V</w:t>
      </w:r>
      <w:r w:rsidR="00361EB3">
        <w:rPr>
          <w:rFonts w:ascii="Times New Roman" w:hAnsi="Times New Roman" w:cs="Times New Roman"/>
          <w:b/>
        </w:rPr>
        <w:t>I</w:t>
      </w:r>
      <w:r w:rsidRPr="00761B99">
        <w:rPr>
          <w:rFonts w:ascii="Times New Roman" w:hAnsi="Times New Roman" w:cs="Times New Roman"/>
          <w:b/>
        </w:rPr>
        <w:t>II.</w:t>
      </w:r>
    </w:p>
    <w:p w14:paraId="0DBA4BA0" w14:textId="77777777" w:rsidR="004547D6" w:rsidRPr="00761B99" w:rsidRDefault="00BB3067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761B99">
        <w:rPr>
          <w:rFonts w:ascii="Times New Roman" w:hAnsi="Times New Roman" w:cs="Times New Roman"/>
          <w:b/>
        </w:rPr>
        <w:t>S</w:t>
      </w:r>
      <w:r w:rsidR="004547D6" w:rsidRPr="00761B99">
        <w:rPr>
          <w:rFonts w:ascii="Times New Roman" w:hAnsi="Times New Roman" w:cs="Times New Roman"/>
          <w:b/>
        </w:rPr>
        <w:t xml:space="preserve">ankce </w:t>
      </w:r>
    </w:p>
    <w:p w14:paraId="3EF3E602" w14:textId="77777777" w:rsidR="00983AD8" w:rsidRPr="00761B99" w:rsidRDefault="00983AD8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2DCBAD00" w14:textId="77777777" w:rsidR="004547D6" w:rsidRPr="00761B99" w:rsidRDefault="004547D6" w:rsidP="004E6444">
      <w:pPr>
        <w:numPr>
          <w:ilvl w:val="0"/>
          <w:numId w:val="22"/>
        </w:numPr>
        <w:spacing w:after="120" w:line="240" w:lineRule="auto"/>
        <w:ind w:left="426" w:hanging="426"/>
        <w:rPr>
          <w:szCs w:val="24"/>
        </w:rPr>
      </w:pPr>
      <w:r w:rsidRPr="00761B99">
        <w:rPr>
          <w:szCs w:val="24"/>
        </w:rPr>
        <w:t xml:space="preserve">Při nedodržení termínu splatnosti řádně vystavené faktury/daňového dokladu objednatelem je </w:t>
      </w:r>
      <w:r w:rsidR="00BB3067" w:rsidRPr="00761B99">
        <w:rPr>
          <w:szCs w:val="24"/>
        </w:rPr>
        <w:t>dodavatel</w:t>
      </w:r>
      <w:r w:rsidRPr="00761B99">
        <w:rPr>
          <w:szCs w:val="24"/>
        </w:rPr>
        <w:t>, který řádně splnil své povinnosti, oprávněn požadovat zaplacení úroku z prodlení ve výši stanovené nařízením vlády č. 351/2013 Sb., kterým se určuje výše úroku z prodlení a nákladů spojených s uplatněním pohledávky, ve znění pozdějších předpisů.</w:t>
      </w:r>
    </w:p>
    <w:p w14:paraId="79B89D68" w14:textId="784ADA6A" w:rsidR="004547D6" w:rsidRPr="003014E3" w:rsidRDefault="004547D6" w:rsidP="004E6444">
      <w:pPr>
        <w:numPr>
          <w:ilvl w:val="0"/>
          <w:numId w:val="22"/>
        </w:numPr>
        <w:spacing w:after="120" w:line="240" w:lineRule="auto"/>
        <w:rPr>
          <w:szCs w:val="24"/>
        </w:rPr>
      </w:pPr>
      <w:r w:rsidRPr="00761B99">
        <w:rPr>
          <w:szCs w:val="24"/>
        </w:rPr>
        <w:t xml:space="preserve">V případě nedodržení lhůt </w:t>
      </w:r>
      <w:r w:rsidR="00BB3067" w:rsidRPr="00761B99">
        <w:rPr>
          <w:szCs w:val="24"/>
        </w:rPr>
        <w:t>dodavatelem</w:t>
      </w:r>
      <w:r w:rsidRPr="00761B99">
        <w:rPr>
          <w:szCs w:val="24"/>
        </w:rPr>
        <w:t xml:space="preserve"> dle článku </w:t>
      </w:r>
      <w:r w:rsidR="00361EB3">
        <w:rPr>
          <w:szCs w:val="24"/>
        </w:rPr>
        <w:t>IX</w:t>
      </w:r>
      <w:r w:rsidR="00670340" w:rsidRPr="00761B99">
        <w:rPr>
          <w:szCs w:val="24"/>
        </w:rPr>
        <w:t xml:space="preserve">. u běžného incidentu (zahájení řešení incidentu, jeho odstranění a uvedení zařízení do provozuschopného stavu) </w:t>
      </w:r>
      <w:r w:rsidRPr="00761B99">
        <w:rPr>
          <w:szCs w:val="24"/>
        </w:rPr>
        <w:t xml:space="preserve">má objednatel právo uplatnit vůči </w:t>
      </w:r>
      <w:r w:rsidR="00BB3067" w:rsidRPr="00761B99">
        <w:rPr>
          <w:szCs w:val="24"/>
        </w:rPr>
        <w:t>dodavateli</w:t>
      </w:r>
      <w:r w:rsidRPr="00761B99">
        <w:rPr>
          <w:szCs w:val="24"/>
        </w:rPr>
        <w:t xml:space="preserve"> smluvní </w:t>
      </w:r>
      <w:r w:rsidRPr="003014E3">
        <w:rPr>
          <w:szCs w:val="24"/>
        </w:rPr>
        <w:t>pokutu ve</w:t>
      </w:r>
      <w:r w:rsidRPr="008E747F">
        <w:rPr>
          <w:szCs w:val="24"/>
        </w:rPr>
        <w:t xml:space="preserve"> výši </w:t>
      </w:r>
      <w:r w:rsidR="003014E3" w:rsidRPr="008E747F">
        <w:rPr>
          <w:szCs w:val="24"/>
        </w:rPr>
        <w:t>5</w:t>
      </w:r>
      <w:r w:rsidRPr="008E747F">
        <w:rPr>
          <w:szCs w:val="24"/>
        </w:rPr>
        <w:t xml:space="preserve"> % z </w:t>
      </w:r>
      <w:r w:rsidRPr="003014E3">
        <w:rPr>
          <w:szCs w:val="24"/>
        </w:rPr>
        <w:t xml:space="preserve">ceny </w:t>
      </w:r>
      <w:r w:rsidR="00EE7B2F">
        <w:rPr>
          <w:szCs w:val="24"/>
        </w:rPr>
        <w:t xml:space="preserve">poskytování </w:t>
      </w:r>
      <w:r w:rsidRPr="003014E3">
        <w:rPr>
          <w:szCs w:val="24"/>
        </w:rPr>
        <w:t>technické podpory připadající na jeden (1) kalendářní měsíc za každý započatý den prodlení.</w:t>
      </w:r>
    </w:p>
    <w:p w14:paraId="3A7B98C4" w14:textId="283F66DA" w:rsidR="004547D6" w:rsidRPr="003014E3" w:rsidRDefault="004547D6" w:rsidP="004E6444">
      <w:pPr>
        <w:numPr>
          <w:ilvl w:val="0"/>
          <w:numId w:val="22"/>
        </w:numPr>
        <w:spacing w:after="120" w:line="240" w:lineRule="auto"/>
        <w:rPr>
          <w:szCs w:val="24"/>
        </w:rPr>
      </w:pPr>
      <w:r w:rsidRPr="003014E3">
        <w:rPr>
          <w:szCs w:val="24"/>
        </w:rPr>
        <w:t xml:space="preserve">V případě nedodržení lhůt </w:t>
      </w:r>
      <w:r w:rsidR="00BB3067" w:rsidRPr="003014E3">
        <w:rPr>
          <w:szCs w:val="24"/>
        </w:rPr>
        <w:t>dodavatelem</w:t>
      </w:r>
      <w:r w:rsidRPr="003014E3">
        <w:rPr>
          <w:szCs w:val="24"/>
        </w:rPr>
        <w:t xml:space="preserve"> dle článku </w:t>
      </w:r>
      <w:r w:rsidR="00361EB3" w:rsidRPr="003014E3">
        <w:rPr>
          <w:szCs w:val="24"/>
        </w:rPr>
        <w:t>IX</w:t>
      </w:r>
      <w:r w:rsidR="00670340" w:rsidRPr="003014E3">
        <w:rPr>
          <w:szCs w:val="24"/>
        </w:rPr>
        <w:t xml:space="preserve">. u kritického incidentu (zahájení řešení kritického incidentu, jeho odstranění a uvedení zařízení do provozuschopného stavu) </w:t>
      </w:r>
      <w:r w:rsidRPr="003014E3">
        <w:rPr>
          <w:szCs w:val="24"/>
        </w:rPr>
        <w:t xml:space="preserve">má objednatel právo uplatnit vůči </w:t>
      </w:r>
      <w:r w:rsidR="00BB3067" w:rsidRPr="003014E3">
        <w:rPr>
          <w:szCs w:val="24"/>
        </w:rPr>
        <w:t>dodavateli</w:t>
      </w:r>
      <w:r w:rsidRPr="003014E3">
        <w:rPr>
          <w:szCs w:val="24"/>
        </w:rPr>
        <w:t xml:space="preserve"> smluvní pokutu ve</w:t>
      </w:r>
      <w:r w:rsidRPr="008E747F">
        <w:rPr>
          <w:szCs w:val="24"/>
        </w:rPr>
        <w:t xml:space="preserve"> výši </w:t>
      </w:r>
      <w:r w:rsidR="00B22DCE">
        <w:rPr>
          <w:szCs w:val="24"/>
        </w:rPr>
        <w:t>5</w:t>
      </w:r>
      <w:bookmarkStart w:id="1" w:name="_GoBack"/>
      <w:bookmarkEnd w:id="1"/>
      <w:r w:rsidRPr="008E747F">
        <w:rPr>
          <w:szCs w:val="24"/>
        </w:rPr>
        <w:t xml:space="preserve"> % z c</w:t>
      </w:r>
      <w:r w:rsidRPr="003014E3">
        <w:rPr>
          <w:szCs w:val="24"/>
        </w:rPr>
        <w:t xml:space="preserve">eny </w:t>
      </w:r>
      <w:r w:rsidR="00EE7B2F">
        <w:rPr>
          <w:szCs w:val="24"/>
        </w:rPr>
        <w:t xml:space="preserve">poskytování </w:t>
      </w:r>
      <w:r w:rsidRPr="003014E3">
        <w:rPr>
          <w:szCs w:val="24"/>
        </w:rPr>
        <w:t>technické podpory připadající na jeden (1) kalendářní měsíc za každou započatou hodinu prodlení.</w:t>
      </w:r>
    </w:p>
    <w:p w14:paraId="32A065F4" w14:textId="77777777" w:rsidR="004547D6" w:rsidRPr="00761B99" w:rsidRDefault="004547D6" w:rsidP="004E6444">
      <w:pPr>
        <w:numPr>
          <w:ilvl w:val="0"/>
          <w:numId w:val="22"/>
        </w:numPr>
        <w:spacing w:after="120" w:line="240" w:lineRule="auto"/>
        <w:rPr>
          <w:szCs w:val="24"/>
        </w:rPr>
      </w:pPr>
      <w:r w:rsidRPr="00761B99">
        <w:rPr>
          <w:szCs w:val="24"/>
        </w:rPr>
        <w:lastRenderedPageBreak/>
        <w:t>Smluvní pokuty jsou splatné ve lhůtě sedmi (7) dnů od doručení písemné výzvy objednatele k úhradě.</w:t>
      </w:r>
    </w:p>
    <w:p w14:paraId="4E7417CF" w14:textId="77777777" w:rsidR="004547D6" w:rsidRPr="00761B99" w:rsidRDefault="004547D6" w:rsidP="004E6444">
      <w:pPr>
        <w:numPr>
          <w:ilvl w:val="0"/>
          <w:numId w:val="22"/>
        </w:numPr>
        <w:spacing w:after="120" w:line="240" w:lineRule="auto"/>
        <w:ind w:left="426" w:hanging="426"/>
        <w:rPr>
          <w:szCs w:val="24"/>
        </w:rPr>
      </w:pPr>
      <w:r w:rsidRPr="00761B99">
        <w:rPr>
          <w:szCs w:val="24"/>
        </w:rPr>
        <w:t>Objednatel má právo na náhradu škody v plné výši vzniklé porušením povinnosti, ke kterému se smluvní pokuta vztahuje.</w:t>
      </w:r>
    </w:p>
    <w:p w14:paraId="56C235B1" w14:textId="77777777" w:rsidR="004547D6" w:rsidRPr="00761B99" w:rsidRDefault="004547D6" w:rsidP="004E6444">
      <w:pPr>
        <w:numPr>
          <w:ilvl w:val="0"/>
          <w:numId w:val="22"/>
        </w:numPr>
        <w:spacing w:after="120" w:line="240" w:lineRule="auto"/>
        <w:ind w:left="426" w:hanging="426"/>
        <w:rPr>
          <w:szCs w:val="24"/>
        </w:rPr>
      </w:pPr>
      <w:r w:rsidRPr="00761B99">
        <w:rPr>
          <w:szCs w:val="24"/>
        </w:rPr>
        <w:t xml:space="preserve">Zaplacení smluvní pokuty nezbavuje </w:t>
      </w:r>
      <w:r w:rsidR="00BB3067" w:rsidRPr="00761B99">
        <w:rPr>
          <w:szCs w:val="24"/>
        </w:rPr>
        <w:t>dodavatele</w:t>
      </w:r>
      <w:r w:rsidRPr="00761B99">
        <w:rPr>
          <w:szCs w:val="24"/>
        </w:rPr>
        <w:t xml:space="preserve"> povinnosti splnit závazek utvrzený smluvní pokutou.</w:t>
      </w:r>
    </w:p>
    <w:p w14:paraId="7ECFD0CE" w14:textId="77777777" w:rsidR="000720B3" w:rsidRDefault="000720B3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7392AACD" w14:textId="5D24FC10" w:rsidR="004547D6" w:rsidRPr="00877194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877194">
        <w:rPr>
          <w:rFonts w:ascii="Times New Roman" w:hAnsi="Times New Roman" w:cs="Times New Roman"/>
          <w:b/>
        </w:rPr>
        <w:t xml:space="preserve">Článek </w:t>
      </w:r>
      <w:r w:rsidR="00361EB3" w:rsidRPr="00877194">
        <w:rPr>
          <w:rFonts w:ascii="Times New Roman" w:hAnsi="Times New Roman" w:cs="Times New Roman"/>
          <w:b/>
        </w:rPr>
        <w:t>IX</w:t>
      </w:r>
      <w:r w:rsidR="00BB3067" w:rsidRPr="00877194">
        <w:rPr>
          <w:rFonts w:ascii="Times New Roman" w:hAnsi="Times New Roman" w:cs="Times New Roman"/>
          <w:b/>
        </w:rPr>
        <w:t>.</w:t>
      </w:r>
    </w:p>
    <w:p w14:paraId="5CAF8311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877194">
        <w:rPr>
          <w:rFonts w:ascii="Times New Roman" w:hAnsi="Times New Roman" w:cs="Times New Roman"/>
          <w:b/>
        </w:rPr>
        <w:t>Technická podpora</w:t>
      </w:r>
      <w:r w:rsidRPr="005B02F7">
        <w:rPr>
          <w:rFonts w:ascii="Times New Roman" w:hAnsi="Times New Roman" w:cs="Times New Roman"/>
          <w:b/>
        </w:rPr>
        <w:t xml:space="preserve"> </w:t>
      </w:r>
    </w:p>
    <w:p w14:paraId="5444021C" w14:textId="77777777" w:rsidR="00983AD8" w:rsidRPr="005B02F7" w:rsidRDefault="00983AD8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5011CB55" w14:textId="3A8CDB84" w:rsidR="00BB3067" w:rsidRDefault="00BB3067" w:rsidP="004E6444">
      <w:pPr>
        <w:numPr>
          <w:ilvl w:val="0"/>
          <w:numId w:val="27"/>
        </w:numPr>
        <w:spacing w:after="120" w:line="240" w:lineRule="auto"/>
        <w:rPr>
          <w:szCs w:val="24"/>
        </w:rPr>
      </w:pPr>
      <w:r w:rsidRPr="00BB3067">
        <w:rPr>
          <w:szCs w:val="24"/>
        </w:rPr>
        <w:t>Dodavatel</w:t>
      </w:r>
      <w:r w:rsidR="004547D6" w:rsidRPr="00BB3067">
        <w:rPr>
          <w:szCs w:val="24"/>
        </w:rPr>
        <w:t xml:space="preserve"> bude poskytovat službu technické podpory v rozsahu dle této smlouvy, zejm</w:t>
      </w:r>
      <w:r w:rsidR="008C6F5B">
        <w:rPr>
          <w:szCs w:val="24"/>
        </w:rPr>
        <w:t>éna</w:t>
      </w:r>
      <w:r w:rsidR="004547D6" w:rsidRPr="00BB3067">
        <w:rPr>
          <w:szCs w:val="24"/>
        </w:rPr>
        <w:t xml:space="preserve"> její přílohy č. 1, minimálně je však povinen ji poskytovat v režimu 5 dní x 8h/týdně (v čase 8:00 – 16:00; pondělí - pátek)</w:t>
      </w:r>
      <w:r w:rsidRPr="00BB3067">
        <w:rPr>
          <w:szCs w:val="24"/>
        </w:rPr>
        <w:t xml:space="preserve"> a zahájit řešení incidentu nejpozději do jednoho (1) pracovního dne po zadání incidentu. </w:t>
      </w:r>
      <w:r w:rsidR="00670340">
        <w:rPr>
          <w:szCs w:val="24"/>
        </w:rPr>
        <w:t>Odstranění incidentu a u</w:t>
      </w:r>
      <w:r w:rsidRPr="00BB3067">
        <w:rPr>
          <w:szCs w:val="24"/>
        </w:rPr>
        <w:t xml:space="preserve">vedení </w:t>
      </w:r>
      <w:r>
        <w:rPr>
          <w:szCs w:val="24"/>
        </w:rPr>
        <w:t>zařízení</w:t>
      </w:r>
      <w:r w:rsidRPr="00BB3067">
        <w:rPr>
          <w:szCs w:val="24"/>
        </w:rPr>
        <w:t xml:space="preserve"> do provozuschopného stavu je dodavatel povinen zabezpečit nejpozději do 10 pracovních dnů od zahájení řešení incidentu v místě instalace zařízení. V případě, že jde o kritický incident (nefunkčnost více než 50% veřejných telefonních linek/kanálů, nefunkčnost více než 50% pobočkových linek, nefunkčnost telefonní ústředny), je v rámci technické podpory </w:t>
      </w:r>
      <w:r>
        <w:rPr>
          <w:szCs w:val="24"/>
        </w:rPr>
        <w:t>dodavatel</w:t>
      </w:r>
      <w:r w:rsidRPr="00BB3067">
        <w:rPr>
          <w:szCs w:val="24"/>
        </w:rPr>
        <w:t xml:space="preserve"> povinen zahájit řešení incidentu do 4 hodin od okamžiku</w:t>
      </w:r>
      <w:r w:rsidR="008E747F">
        <w:rPr>
          <w:szCs w:val="24"/>
        </w:rPr>
        <w:t xml:space="preserve"> ohlášení incidentu (prostřednictvím e-mailu, datové zprávy, nebo telefonického hovoru)</w:t>
      </w:r>
      <w:r w:rsidRPr="00BB3067">
        <w:rPr>
          <w:szCs w:val="24"/>
        </w:rPr>
        <w:t xml:space="preserve"> a odstranit incident v místě instalace do 24 hodin od okamžiku oznámení.</w:t>
      </w:r>
    </w:p>
    <w:p w14:paraId="55B24994" w14:textId="77777777" w:rsidR="008F71DB" w:rsidRPr="008F71DB" w:rsidRDefault="008F71DB" w:rsidP="00AD53B2">
      <w:pPr>
        <w:pStyle w:val="Odstavecseseznamem"/>
        <w:numPr>
          <w:ilvl w:val="0"/>
          <w:numId w:val="27"/>
        </w:numPr>
        <w:rPr>
          <w:szCs w:val="24"/>
        </w:rPr>
      </w:pPr>
      <w:r w:rsidRPr="008F71DB">
        <w:rPr>
          <w:szCs w:val="24"/>
        </w:rPr>
        <w:t xml:space="preserve">Službou technické podpory </w:t>
      </w:r>
      <w:r>
        <w:rPr>
          <w:szCs w:val="24"/>
        </w:rPr>
        <w:t xml:space="preserve">poskytované dodavatelem </w:t>
      </w:r>
      <w:r w:rsidRPr="008F71DB">
        <w:rPr>
          <w:szCs w:val="24"/>
        </w:rPr>
        <w:t xml:space="preserve">není rozšiřování </w:t>
      </w:r>
      <w:r>
        <w:rPr>
          <w:szCs w:val="24"/>
        </w:rPr>
        <w:t xml:space="preserve">zařízení </w:t>
      </w:r>
      <w:r w:rsidRPr="008F71DB">
        <w:rPr>
          <w:szCs w:val="24"/>
        </w:rPr>
        <w:t xml:space="preserve">či výměna vadné </w:t>
      </w:r>
      <w:r>
        <w:rPr>
          <w:szCs w:val="24"/>
        </w:rPr>
        <w:t>části zařízení</w:t>
      </w:r>
      <w:r w:rsidRPr="008F71DB">
        <w:rPr>
          <w:szCs w:val="24"/>
        </w:rPr>
        <w:t xml:space="preserve">, správa a údržba </w:t>
      </w:r>
      <w:proofErr w:type="spellStart"/>
      <w:r w:rsidRPr="008F71DB">
        <w:rPr>
          <w:szCs w:val="24"/>
        </w:rPr>
        <w:t>switchů</w:t>
      </w:r>
      <w:proofErr w:type="spellEnd"/>
      <w:r w:rsidRPr="008F71DB">
        <w:rPr>
          <w:szCs w:val="24"/>
        </w:rPr>
        <w:t xml:space="preserve">, PC a dalších zařízení v majetku </w:t>
      </w:r>
      <w:r>
        <w:rPr>
          <w:szCs w:val="24"/>
        </w:rPr>
        <w:t>objednatele, úhrada nákladů na provoz telefonních linek a zajištění internetové konektivity objednatele.</w:t>
      </w:r>
    </w:p>
    <w:p w14:paraId="33BD9A78" w14:textId="77777777" w:rsidR="004547D6" w:rsidRDefault="00BB3067" w:rsidP="004E6444">
      <w:pPr>
        <w:numPr>
          <w:ilvl w:val="0"/>
          <w:numId w:val="27"/>
        </w:numPr>
        <w:spacing w:after="120" w:line="240" w:lineRule="auto"/>
        <w:rPr>
          <w:szCs w:val="24"/>
        </w:rPr>
      </w:pPr>
      <w:r>
        <w:rPr>
          <w:szCs w:val="24"/>
        </w:rPr>
        <w:t>Dodavatel</w:t>
      </w:r>
      <w:r w:rsidR="004547D6" w:rsidRPr="00B61A43">
        <w:rPr>
          <w:szCs w:val="24"/>
        </w:rPr>
        <w:t xml:space="preserve"> </w:t>
      </w:r>
      <w:r w:rsidR="004547D6">
        <w:rPr>
          <w:szCs w:val="24"/>
        </w:rPr>
        <w:t xml:space="preserve">je povinen </w:t>
      </w:r>
      <w:r w:rsidR="004547D6" w:rsidRPr="00B61A43">
        <w:rPr>
          <w:szCs w:val="24"/>
        </w:rPr>
        <w:t>v rá</w:t>
      </w:r>
      <w:r w:rsidR="004547D6">
        <w:rPr>
          <w:szCs w:val="24"/>
        </w:rPr>
        <w:t>mci technické podpory pravidelně informovat objednatele o dostupnosti</w:t>
      </w:r>
      <w:r w:rsidR="004547D6" w:rsidRPr="00B61A43">
        <w:rPr>
          <w:szCs w:val="24"/>
        </w:rPr>
        <w:t xml:space="preserve"> nové </w:t>
      </w:r>
      <w:r w:rsidR="004547D6">
        <w:rPr>
          <w:szCs w:val="24"/>
        </w:rPr>
        <w:t>verze softwaru, upozornit na potenciální chyby a rizika, jsou-li známy, a na výzvu objednatele novou verzi implementovat.</w:t>
      </w:r>
    </w:p>
    <w:p w14:paraId="0BDBB00F" w14:textId="23B9EA9F" w:rsidR="004547D6" w:rsidRDefault="004547D6" w:rsidP="004E6444">
      <w:pPr>
        <w:numPr>
          <w:ilvl w:val="0"/>
          <w:numId w:val="27"/>
        </w:numPr>
        <w:spacing w:after="120" w:line="240" w:lineRule="auto"/>
        <w:rPr>
          <w:szCs w:val="24"/>
        </w:rPr>
      </w:pPr>
      <w:r w:rsidRPr="004F72C4">
        <w:rPr>
          <w:szCs w:val="24"/>
        </w:rPr>
        <w:t xml:space="preserve">Objednatel je povinen </w:t>
      </w:r>
      <w:r>
        <w:rPr>
          <w:szCs w:val="24"/>
        </w:rPr>
        <w:t xml:space="preserve">informovat </w:t>
      </w:r>
      <w:r w:rsidR="00BB3067">
        <w:rPr>
          <w:szCs w:val="24"/>
        </w:rPr>
        <w:t>dodavatele</w:t>
      </w:r>
      <w:r w:rsidRPr="004F72C4">
        <w:rPr>
          <w:szCs w:val="24"/>
        </w:rPr>
        <w:t xml:space="preserve"> o incidentech bez zbytečného odkladu poté, kdy incident zjistil na níže uvedené kontakty </w:t>
      </w:r>
      <w:r w:rsidR="00392E8E">
        <w:rPr>
          <w:b/>
          <w:szCs w:val="24"/>
        </w:rPr>
        <w:t>dodavatele</w:t>
      </w:r>
      <w:r w:rsidRPr="00A87445">
        <w:rPr>
          <w:b/>
          <w:szCs w:val="24"/>
        </w:rPr>
        <w:t>:</w:t>
      </w:r>
      <w:r w:rsidRPr="00A87445">
        <w:rPr>
          <w:szCs w:val="24"/>
        </w:rPr>
        <w:t xml:space="preserve"> </w:t>
      </w:r>
      <w:r w:rsidR="00361EB3" w:rsidRPr="00F841D1">
        <w:rPr>
          <w:b/>
          <w:i/>
          <w:sz w:val="22"/>
          <w:highlight w:val="yellow"/>
        </w:rPr>
        <w:t>(doplní účastník)</w:t>
      </w:r>
      <w:r w:rsidRPr="00A87445">
        <w:rPr>
          <w:snapToGrid w:val="0"/>
          <w:szCs w:val="24"/>
        </w:rPr>
        <w:t xml:space="preserve">, tel.: </w:t>
      </w:r>
      <w:r w:rsidR="00361EB3" w:rsidRPr="00F841D1">
        <w:rPr>
          <w:b/>
          <w:i/>
          <w:sz w:val="22"/>
          <w:highlight w:val="yellow"/>
        </w:rPr>
        <w:t>(doplní účastník)</w:t>
      </w:r>
      <w:r w:rsidR="00361EB3">
        <w:rPr>
          <w:b/>
          <w:i/>
          <w:sz w:val="22"/>
        </w:rPr>
        <w:t xml:space="preserve"> </w:t>
      </w:r>
      <w:r w:rsidRPr="00A87445">
        <w:rPr>
          <w:snapToGrid w:val="0"/>
          <w:szCs w:val="24"/>
        </w:rPr>
        <w:t>e-mail:</w:t>
      </w:r>
      <w:r w:rsidR="00361EB3" w:rsidRPr="00361EB3">
        <w:rPr>
          <w:b/>
          <w:i/>
          <w:sz w:val="22"/>
        </w:rPr>
        <w:t xml:space="preserve"> </w:t>
      </w:r>
      <w:r w:rsidR="00361EB3" w:rsidRPr="00F841D1">
        <w:rPr>
          <w:b/>
          <w:i/>
          <w:sz w:val="22"/>
          <w:highlight w:val="yellow"/>
        </w:rPr>
        <w:t>(doplní účastník)</w:t>
      </w:r>
      <w:r>
        <w:rPr>
          <w:b/>
          <w:i/>
          <w:szCs w:val="24"/>
        </w:rPr>
        <w:t>.</w:t>
      </w:r>
    </w:p>
    <w:p w14:paraId="05FDE759" w14:textId="77777777" w:rsidR="004547D6" w:rsidRPr="00967DDB" w:rsidRDefault="004547D6" w:rsidP="004E6444">
      <w:pPr>
        <w:numPr>
          <w:ilvl w:val="0"/>
          <w:numId w:val="27"/>
        </w:numPr>
        <w:spacing w:after="120" w:line="240" w:lineRule="auto"/>
        <w:rPr>
          <w:szCs w:val="24"/>
        </w:rPr>
      </w:pPr>
      <w:r>
        <w:rPr>
          <w:szCs w:val="24"/>
        </w:rPr>
        <w:t>V případě, že je v příloze č. 1 uveden jiný rozsah technické podpory, uplatní se v případě rozporů rozsah pro objednatele příznivější.</w:t>
      </w:r>
    </w:p>
    <w:p w14:paraId="4A4D61BE" w14:textId="77777777" w:rsidR="00361EB3" w:rsidRPr="00FE6E59" w:rsidRDefault="00361EB3" w:rsidP="004547D6">
      <w:pPr>
        <w:spacing w:after="120" w:line="240" w:lineRule="auto"/>
        <w:ind w:left="426"/>
        <w:rPr>
          <w:szCs w:val="24"/>
        </w:rPr>
      </w:pPr>
    </w:p>
    <w:p w14:paraId="35594E31" w14:textId="2E6A97C6" w:rsidR="004547D6" w:rsidRPr="00FE6E59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FE6E59">
        <w:rPr>
          <w:rFonts w:ascii="Times New Roman" w:hAnsi="Times New Roman" w:cs="Times New Roman"/>
          <w:b/>
        </w:rPr>
        <w:t xml:space="preserve">Článek </w:t>
      </w:r>
      <w:r>
        <w:rPr>
          <w:rFonts w:ascii="Times New Roman" w:hAnsi="Times New Roman" w:cs="Times New Roman"/>
          <w:b/>
        </w:rPr>
        <w:t>X</w:t>
      </w:r>
      <w:r w:rsidRPr="00FE6E59">
        <w:rPr>
          <w:rFonts w:ascii="Times New Roman" w:hAnsi="Times New Roman" w:cs="Times New Roman"/>
          <w:b/>
        </w:rPr>
        <w:t>.</w:t>
      </w:r>
    </w:p>
    <w:p w14:paraId="3E198FF5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FE6E59">
        <w:rPr>
          <w:rFonts w:ascii="Times New Roman" w:hAnsi="Times New Roman" w:cs="Times New Roman"/>
          <w:b/>
        </w:rPr>
        <w:t>Náhrada škody</w:t>
      </w:r>
    </w:p>
    <w:p w14:paraId="75B481E4" w14:textId="77777777" w:rsidR="00983AD8" w:rsidRPr="00FE6E59" w:rsidRDefault="00983AD8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28E80A81" w14:textId="017DC3B4" w:rsidR="004547D6" w:rsidRPr="00FE6E59" w:rsidRDefault="009904AE" w:rsidP="004E6444">
      <w:pPr>
        <w:numPr>
          <w:ilvl w:val="0"/>
          <w:numId w:val="21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Dodavatel</w:t>
      </w:r>
      <w:r w:rsidR="004547D6" w:rsidRPr="00FE6E59">
        <w:rPr>
          <w:szCs w:val="24"/>
        </w:rPr>
        <w:t xml:space="preserve"> odpovídá v plné výši za veškeré škody způsobené objednateli porušením povinností vyplývajících ze smlouvy či právních předpisů. </w:t>
      </w:r>
      <w:r>
        <w:rPr>
          <w:szCs w:val="24"/>
        </w:rPr>
        <w:t>Dodavatel</w:t>
      </w:r>
      <w:r w:rsidR="004547D6" w:rsidRPr="00FE6E59">
        <w:rPr>
          <w:szCs w:val="24"/>
        </w:rPr>
        <w:t xml:space="preserve"> odpovídá zejména za škody způsobené porušením ustanovení této smlouvy, škody způsobené protiprávním činem a škody vzniklé v důsledku vadného plnění. </w:t>
      </w:r>
    </w:p>
    <w:p w14:paraId="68E7C84F" w14:textId="77777777" w:rsidR="004547D6" w:rsidRPr="003C0393" w:rsidRDefault="004547D6" w:rsidP="004E6444">
      <w:pPr>
        <w:numPr>
          <w:ilvl w:val="0"/>
          <w:numId w:val="21"/>
        </w:numPr>
        <w:spacing w:after="120" w:line="240" w:lineRule="auto"/>
        <w:ind w:left="426" w:hanging="426"/>
        <w:rPr>
          <w:szCs w:val="24"/>
        </w:rPr>
      </w:pPr>
      <w:r w:rsidRPr="003C0393">
        <w:rPr>
          <w:szCs w:val="24"/>
        </w:rPr>
        <w:t xml:space="preserve">Jakákoliv ustanovení týkající se omezení výše či druhu náhrady škody se nepřipouští. </w:t>
      </w:r>
    </w:p>
    <w:p w14:paraId="1EFC698D" w14:textId="1BFC9F1B" w:rsidR="004547D6" w:rsidRPr="003C0393" w:rsidRDefault="004547D6" w:rsidP="004E6444">
      <w:pPr>
        <w:numPr>
          <w:ilvl w:val="0"/>
          <w:numId w:val="21"/>
        </w:numPr>
        <w:spacing w:after="120" w:line="240" w:lineRule="auto"/>
        <w:ind w:left="426" w:hanging="426"/>
        <w:rPr>
          <w:szCs w:val="24"/>
        </w:rPr>
      </w:pPr>
      <w:r w:rsidRPr="003C0393">
        <w:rPr>
          <w:szCs w:val="24"/>
        </w:rPr>
        <w:t xml:space="preserve">Povinnosti k náhradě škody se </w:t>
      </w:r>
      <w:r w:rsidR="009904AE">
        <w:rPr>
          <w:szCs w:val="24"/>
        </w:rPr>
        <w:t>dodavatel</w:t>
      </w:r>
      <w:r w:rsidRPr="003C0393">
        <w:rPr>
          <w:szCs w:val="24"/>
        </w:rPr>
        <w:t xml:space="preserve"> zprostí, pokud </w:t>
      </w:r>
      <w:r>
        <w:rPr>
          <w:szCs w:val="24"/>
        </w:rPr>
        <w:t xml:space="preserve">prokáže existenci okolností dle </w:t>
      </w:r>
      <w:r w:rsidRPr="003C0393">
        <w:rPr>
          <w:szCs w:val="24"/>
        </w:rPr>
        <w:t xml:space="preserve">§ 2913 odst. 2 </w:t>
      </w:r>
      <w:r w:rsidR="00803F42">
        <w:rPr>
          <w:szCs w:val="24"/>
        </w:rPr>
        <w:t>o</w:t>
      </w:r>
      <w:r w:rsidRPr="003C0393">
        <w:rPr>
          <w:szCs w:val="24"/>
        </w:rPr>
        <w:t>bčanského zákoníku.</w:t>
      </w:r>
    </w:p>
    <w:p w14:paraId="5469FA72" w14:textId="37BE6A4F" w:rsidR="004547D6" w:rsidRPr="003C0393" w:rsidRDefault="009904AE" w:rsidP="004E6444">
      <w:pPr>
        <w:numPr>
          <w:ilvl w:val="0"/>
          <w:numId w:val="21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Dodavatel</w:t>
      </w:r>
      <w:r w:rsidR="004547D6" w:rsidRPr="003C0393">
        <w:rPr>
          <w:szCs w:val="24"/>
        </w:rPr>
        <w:t xml:space="preserve"> před podpisem této smlouvy předal objednateli kopii pojistné smlouvy</w:t>
      </w:r>
      <w:r w:rsidR="004547D6">
        <w:rPr>
          <w:szCs w:val="24"/>
        </w:rPr>
        <w:t xml:space="preserve"> (pojistky nebo pojistného certifikátu)</w:t>
      </w:r>
      <w:r w:rsidR="004547D6" w:rsidRPr="003C0393">
        <w:rPr>
          <w:szCs w:val="24"/>
        </w:rPr>
        <w:t xml:space="preserve">, jejímž předmětem je pojištění odpovědnosti za škodu </w:t>
      </w:r>
      <w:r w:rsidR="004547D6" w:rsidRPr="003C0393">
        <w:rPr>
          <w:szCs w:val="24"/>
        </w:rPr>
        <w:lastRenderedPageBreak/>
        <w:t>způsobenou v souvislosti s prováděním jeho podnikatelské činnosti ve</w:t>
      </w:r>
      <w:r w:rsidR="0074693E">
        <w:rPr>
          <w:szCs w:val="24"/>
        </w:rPr>
        <w:t xml:space="preserve"> výši</w:t>
      </w:r>
      <w:r w:rsidR="004547D6" w:rsidRPr="003C0393">
        <w:rPr>
          <w:szCs w:val="24"/>
        </w:rPr>
        <w:t xml:space="preserve"> pojistného plnění minimálně </w:t>
      </w:r>
      <w:r w:rsidR="0074693E">
        <w:rPr>
          <w:szCs w:val="24"/>
        </w:rPr>
        <w:t>5</w:t>
      </w:r>
      <w:r w:rsidR="004547D6" w:rsidRPr="003C0393">
        <w:rPr>
          <w:szCs w:val="24"/>
        </w:rPr>
        <w:t xml:space="preserve">.000.000 Kč. </w:t>
      </w:r>
      <w:r>
        <w:rPr>
          <w:szCs w:val="24"/>
        </w:rPr>
        <w:t xml:space="preserve">Dodavatel </w:t>
      </w:r>
      <w:r w:rsidR="004547D6" w:rsidRPr="003C0393">
        <w:rPr>
          <w:szCs w:val="24"/>
        </w:rPr>
        <w:t>je povinen mít v účinnosti pojistnou smlouvu po celou dobu poskytování předmětu plnění</w:t>
      </w:r>
      <w:r w:rsidR="004547D6">
        <w:rPr>
          <w:szCs w:val="24"/>
        </w:rPr>
        <w:t xml:space="preserve"> a kdykoliv na požádání objednatele osvědčit její trvání</w:t>
      </w:r>
      <w:r w:rsidR="004547D6" w:rsidRPr="003C0393">
        <w:rPr>
          <w:szCs w:val="24"/>
        </w:rPr>
        <w:t>.</w:t>
      </w:r>
    </w:p>
    <w:p w14:paraId="00B9D869" w14:textId="77777777" w:rsidR="004547D6" w:rsidRPr="003C0393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74AFE452" w14:textId="15AB958F" w:rsidR="004547D6" w:rsidRPr="003C0393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3C0393">
        <w:rPr>
          <w:rFonts w:ascii="Times New Roman" w:hAnsi="Times New Roman" w:cs="Times New Roman"/>
          <w:b/>
        </w:rPr>
        <w:t>Článek X</w:t>
      </w:r>
      <w:r w:rsidR="00361EB3">
        <w:rPr>
          <w:rFonts w:ascii="Times New Roman" w:hAnsi="Times New Roman" w:cs="Times New Roman"/>
          <w:b/>
        </w:rPr>
        <w:t>I</w:t>
      </w:r>
      <w:r w:rsidRPr="003C0393">
        <w:rPr>
          <w:rFonts w:ascii="Times New Roman" w:hAnsi="Times New Roman" w:cs="Times New Roman"/>
          <w:b/>
        </w:rPr>
        <w:t>.</w:t>
      </w:r>
    </w:p>
    <w:p w14:paraId="1AD71621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3C0393">
        <w:rPr>
          <w:rFonts w:ascii="Times New Roman" w:hAnsi="Times New Roman" w:cs="Times New Roman"/>
          <w:b/>
        </w:rPr>
        <w:t>Trvání a ukončení smlouvy</w:t>
      </w:r>
    </w:p>
    <w:p w14:paraId="4878A410" w14:textId="77777777" w:rsidR="00983AD8" w:rsidRPr="00E3470B" w:rsidRDefault="00983AD8" w:rsidP="004547D6">
      <w:pPr>
        <w:pStyle w:val="Default"/>
        <w:jc w:val="center"/>
        <w:rPr>
          <w:rFonts w:ascii="Times New Roman" w:hAnsi="Times New Roman" w:cs="Times New Roman"/>
        </w:rPr>
      </w:pPr>
    </w:p>
    <w:p w14:paraId="573ADCDE" w14:textId="25CA3EFA" w:rsidR="004547D6" w:rsidRPr="00E3470B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E3470B">
        <w:rPr>
          <w:szCs w:val="24"/>
        </w:rPr>
        <w:t xml:space="preserve">Tato smlouva se uzavírá na dobu </w:t>
      </w:r>
      <w:r>
        <w:rPr>
          <w:szCs w:val="24"/>
        </w:rPr>
        <w:t xml:space="preserve">určitou, a to </w:t>
      </w:r>
      <w:r w:rsidR="00F53499">
        <w:rPr>
          <w:szCs w:val="24"/>
        </w:rPr>
        <w:t xml:space="preserve">na </w:t>
      </w:r>
      <w:r w:rsidR="009904AE">
        <w:rPr>
          <w:szCs w:val="24"/>
        </w:rPr>
        <w:t>36</w:t>
      </w:r>
      <w:r>
        <w:rPr>
          <w:szCs w:val="24"/>
        </w:rPr>
        <w:t xml:space="preserve"> měsíců </w:t>
      </w:r>
      <w:r w:rsidR="009904AE">
        <w:rPr>
          <w:szCs w:val="24"/>
        </w:rPr>
        <w:t>od</w:t>
      </w:r>
      <w:r w:rsidR="00E77C87">
        <w:rPr>
          <w:szCs w:val="24"/>
        </w:rPr>
        <w:t xml:space="preserve">e dne </w:t>
      </w:r>
      <w:r w:rsidR="009904AE">
        <w:rPr>
          <w:szCs w:val="24"/>
        </w:rPr>
        <w:t>její účinnosti</w:t>
      </w:r>
      <w:r w:rsidRPr="00E3470B">
        <w:rPr>
          <w:szCs w:val="24"/>
        </w:rPr>
        <w:t>.</w:t>
      </w:r>
    </w:p>
    <w:p w14:paraId="5A9A21D2" w14:textId="155495F1" w:rsidR="00F53499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E3470B">
        <w:rPr>
          <w:szCs w:val="24"/>
        </w:rPr>
        <w:t xml:space="preserve">Smluvní vztah lze </w:t>
      </w:r>
      <w:r w:rsidR="008E747F">
        <w:rPr>
          <w:szCs w:val="24"/>
        </w:rPr>
        <w:t>předčasně</w:t>
      </w:r>
      <w:r w:rsidR="004046CD">
        <w:rPr>
          <w:szCs w:val="24"/>
        </w:rPr>
        <w:t xml:space="preserve"> </w:t>
      </w:r>
      <w:r w:rsidRPr="00E3470B">
        <w:rPr>
          <w:szCs w:val="24"/>
        </w:rPr>
        <w:t>ukončit písemnou dohodou smluvních stran</w:t>
      </w:r>
      <w:r w:rsidR="00F53499">
        <w:rPr>
          <w:szCs w:val="24"/>
        </w:rPr>
        <w:t>, výpovědí</w:t>
      </w:r>
      <w:r w:rsidRPr="00E3470B">
        <w:rPr>
          <w:szCs w:val="24"/>
        </w:rPr>
        <w:t xml:space="preserve"> </w:t>
      </w:r>
      <w:r>
        <w:rPr>
          <w:szCs w:val="24"/>
        </w:rPr>
        <w:t>nebo odstoupením</w:t>
      </w:r>
      <w:r w:rsidRPr="00E3470B">
        <w:rPr>
          <w:szCs w:val="24"/>
        </w:rPr>
        <w:t xml:space="preserve"> </w:t>
      </w:r>
      <w:r w:rsidR="00FC1259">
        <w:rPr>
          <w:szCs w:val="24"/>
        </w:rPr>
        <w:t>od smlouvy.</w:t>
      </w:r>
    </w:p>
    <w:p w14:paraId="08380F70" w14:textId="5E37EE16" w:rsidR="004547D6" w:rsidRPr="00C81427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 xml:space="preserve">Objednatel je oprávněn tuto smlouvu vypovědět i bez udání důvodu s výpovědní dobou </w:t>
      </w:r>
      <w:r w:rsidR="009904AE">
        <w:rPr>
          <w:szCs w:val="24"/>
        </w:rPr>
        <w:t>tří</w:t>
      </w:r>
      <w:r>
        <w:rPr>
          <w:szCs w:val="24"/>
        </w:rPr>
        <w:t xml:space="preserve"> (</w:t>
      </w:r>
      <w:r w:rsidR="009904AE">
        <w:rPr>
          <w:szCs w:val="24"/>
        </w:rPr>
        <w:t>3</w:t>
      </w:r>
      <w:r>
        <w:rPr>
          <w:szCs w:val="24"/>
        </w:rPr>
        <w:t>) měsíců</w:t>
      </w:r>
      <w:r w:rsidR="00620D04">
        <w:rPr>
          <w:szCs w:val="24"/>
        </w:rPr>
        <w:t xml:space="preserve">, která začíná plynout ode </w:t>
      </w:r>
      <w:r w:rsidR="00620D04" w:rsidRPr="0074693E">
        <w:rPr>
          <w:szCs w:val="24"/>
        </w:rPr>
        <w:t>dne doručení výpovědi</w:t>
      </w:r>
      <w:r w:rsidR="00620D04">
        <w:rPr>
          <w:szCs w:val="24"/>
        </w:rPr>
        <w:t xml:space="preserve"> druhé smluvní straně</w:t>
      </w:r>
      <w:r>
        <w:rPr>
          <w:szCs w:val="24"/>
        </w:rPr>
        <w:t xml:space="preserve">. </w:t>
      </w:r>
      <w:r w:rsidR="009904AE" w:rsidRPr="0074693E">
        <w:rPr>
          <w:szCs w:val="24"/>
        </w:rPr>
        <w:t>Dodavatel</w:t>
      </w:r>
      <w:r w:rsidRPr="0074693E">
        <w:rPr>
          <w:szCs w:val="24"/>
        </w:rPr>
        <w:t xml:space="preserve"> není oprávněn tuto smlouvu vypovědět</w:t>
      </w:r>
      <w:r>
        <w:rPr>
          <w:szCs w:val="24"/>
        </w:rPr>
        <w:t>.</w:t>
      </w:r>
    </w:p>
    <w:p w14:paraId="69B4E68B" w14:textId="77777777" w:rsidR="004547D6" w:rsidRPr="00C81427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C81427">
        <w:rPr>
          <w:szCs w:val="24"/>
        </w:rPr>
        <w:t>Smluvní strany jsou oprávněny odstoupit od smlouvy z důvodů uvedených v této smlouvě a dále z důvodů uvedených v zákoně, zejména v případě podstatného porušení smlouvy.</w:t>
      </w:r>
    </w:p>
    <w:p w14:paraId="5BFD5ECD" w14:textId="348DC372" w:rsidR="004547D6" w:rsidRPr="00A0550F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C81427">
        <w:rPr>
          <w:szCs w:val="24"/>
        </w:rPr>
        <w:t xml:space="preserve">Za podstatné porušení smlouvy </w:t>
      </w:r>
      <w:r w:rsidR="009904AE">
        <w:rPr>
          <w:szCs w:val="24"/>
        </w:rPr>
        <w:t>dodavatelem</w:t>
      </w:r>
      <w:r w:rsidRPr="00C81427">
        <w:rPr>
          <w:szCs w:val="24"/>
        </w:rPr>
        <w:t>, které je důvodem pro odstoupení smlouvy ze strany objednatele, se považuje</w:t>
      </w:r>
      <w:r w:rsidR="00FC1259">
        <w:rPr>
          <w:szCs w:val="24"/>
        </w:rPr>
        <w:t xml:space="preserve"> zejména</w:t>
      </w:r>
      <w:r w:rsidRPr="00C81427">
        <w:rPr>
          <w:szCs w:val="24"/>
        </w:rPr>
        <w:t xml:space="preserve"> porušení povinností </w:t>
      </w:r>
      <w:r w:rsidR="009904AE">
        <w:rPr>
          <w:szCs w:val="24"/>
        </w:rPr>
        <w:t>dodavatele</w:t>
      </w:r>
      <w:r w:rsidRPr="00C81427">
        <w:rPr>
          <w:szCs w:val="24"/>
        </w:rPr>
        <w:t>, které nebude odstraněno ani do 30 kalendářních dní od doručení</w:t>
      </w:r>
      <w:r w:rsidRPr="00B61A43">
        <w:rPr>
          <w:szCs w:val="24"/>
        </w:rPr>
        <w:t xml:space="preserve"> písemné výzvy objednatele. </w:t>
      </w:r>
    </w:p>
    <w:p w14:paraId="222AC56D" w14:textId="77777777" w:rsidR="004547D6" w:rsidRPr="00A87445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A0550F">
        <w:rPr>
          <w:szCs w:val="24"/>
        </w:rPr>
        <w:t xml:space="preserve">Za podstatné porušení smlouvy objednatelem, které je důvodem pro odstoupení smlouvy ze strany </w:t>
      </w:r>
      <w:r w:rsidR="009904AE">
        <w:rPr>
          <w:szCs w:val="24"/>
        </w:rPr>
        <w:t>dodavatele</w:t>
      </w:r>
      <w:r w:rsidRPr="008F6402">
        <w:rPr>
          <w:szCs w:val="24"/>
        </w:rPr>
        <w:t>, se považuje prodlení objednatele s úhradou faktury/daňového dokladu o více jak 30 kalendářních dní</w:t>
      </w:r>
      <w:r>
        <w:rPr>
          <w:szCs w:val="24"/>
        </w:rPr>
        <w:t xml:space="preserve"> od doručení písemné výzvy </w:t>
      </w:r>
      <w:r w:rsidR="009904AE">
        <w:rPr>
          <w:szCs w:val="24"/>
        </w:rPr>
        <w:t>dodavatele</w:t>
      </w:r>
      <w:r>
        <w:rPr>
          <w:szCs w:val="24"/>
        </w:rPr>
        <w:t xml:space="preserve"> o takovém prodlení objednateli</w:t>
      </w:r>
      <w:r w:rsidRPr="008F6402">
        <w:rPr>
          <w:szCs w:val="24"/>
        </w:rPr>
        <w:t>, přičemž nárok na úrok z prodlení není tímto u</w:t>
      </w:r>
      <w:r w:rsidRPr="00A87445">
        <w:rPr>
          <w:szCs w:val="24"/>
        </w:rPr>
        <w:t xml:space="preserve">stanovením dotčen. </w:t>
      </w:r>
    </w:p>
    <w:p w14:paraId="2944B68E" w14:textId="7F857551" w:rsidR="004547D6" w:rsidRPr="00A87445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V případě odstoupení podle odst. </w:t>
      </w:r>
      <w:r w:rsidR="00EE7B2F">
        <w:rPr>
          <w:szCs w:val="24"/>
        </w:rPr>
        <w:t>5</w:t>
      </w:r>
      <w:r w:rsidRPr="00A87445">
        <w:rPr>
          <w:szCs w:val="24"/>
        </w:rPr>
        <w:t xml:space="preserve"> tohoto článku má objednatel (kromě jiného) </w:t>
      </w:r>
      <w:r w:rsidR="00EE7B2F">
        <w:rPr>
          <w:szCs w:val="24"/>
        </w:rPr>
        <w:t>právo</w:t>
      </w:r>
      <w:r w:rsidR="00EE7B2F" w:rsidRPr="00A87445">
        <w:rPr>
          <w:szCs w:val="24"/>
        </w:rPr>
        <w:t xml:space="preserve"> </w:t>
      </w:r>
      <w:r w:rsidRPr="00A87445">
        <w:rPr>
          <w:szCs w:val="24"/>
        </w:rPr>
        <w:t>na náhradu škody</w:t>
      </w:r>
      <w:r>
        <w:rPr>
          <w:szCs w:val="24"/>
        </w:rPr>
        <w:t>,</w:t>
      </w:r>
      <w:r w:rsidRPr="00A87445">
        <w:rPr>
          <w:szCs w:val="24"/>
        </w:rPr>
        <w:t xml:space="preserve"> na náhradu prokazatelných nákladů, které mu vzniknou v souvislosti se zajištěním náhradního plnění</w:t>
      </w:r>
      <w:r>
        <w:rPr>
          <w:szCs w:val="24"/>
        </w:rPr>
        <w:t xml:space="preserve"> a dále také na vrácení poměrně části ceny za nevyčerpané plnění</w:t>
      </w:r>
      <w:r w:rsidRPr="00A87445">
        <w:rPr>
          <w:szCs w:val="24"/>
        </w:rPr>
        <w:t>.</w:t>
      </w:r>
      <w:r>
        <w:rPr>
          <w:szCs w:val="24"/>
        </w:rPr>
        <w:t xml:space="preserve"> </w:t>
      </w:r>
      <w:r w:rsidR="00EE7B2F">
        <w:rPr>
          <w:szCs w:val="24"/>
        </w:rPr>
        <w:t xml:space="preserve">Práva </w:t>
      </w:r>
      <w:r>
        <w:rPr>
          <w:szCs w:val="24"/>
        </w:rPr>
        <w:t>z vad nejsou dotčeny.</w:t>
      </w:r>
    </w:p>
    <w:p w14:paraId="4C1C28A5" w14:textId="66891A15" w:rsidR="004547D6" w:rsidRPr="00A87445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Odstoupení od této smlouvy musí být písemné a musí obsahovat odkaz na ustanovení této smlouvy, zákona</w:t>
      </w:r>
      <w:r>
        <w:rPr>
          <w:szCs w:val="24"/>
        </w:rPr>
        <w:t xml:space="preserve"> č. 121/2000 Sb., o právu autorském, o právech souvisejících s právem autorským a o změně některých zákonů (dále jen „</w:t>
      </w:r>
      <w:r w:rsidR="00803F42">
        <w:rPr>
          <w:i/>
          <w:szCs w:val="24"/>
        </w:rPr>
        <w:t>a</w:t>
      </w:r>
      <w:r w:rsidRPr="00874DEA">
        <w:rPr>
          <w:i/>
          <w:szCs w:val="24"/>
        </w:rPr>
        <w:t>utorský zákon</w:t>
      </w:r>
      <w:r>
        <w:rPr>
          <w:szCs w:val="24"/>
        </w:rPr>
        <w:t>“)</w:t>
      </w:r>
      <w:r w:rsidRPr="00A87445">
        <w:rPr>
          <w:szCs w:val="24"/>
        </w:rPr>
        <w:t xml:space="preserve"> či </w:t>
      </w:r>
      <w:r w:rsidR="00803F42">
        <w:rPr>
          <w:szCs w:val="24"/>
        </w:rPr>
        <w:t>o</w:t>
      </w:r>
      <w:r w:rsidRPr="00A87445">
        <w:rPr>
          <w:szCs w:val="24"/>
        </w:rPr>
        <w:t xml:space="preserve">bčanského zákoníku, které zakládá oprávnění od smlouvy odstoupit. </w:t>
      </w:r>
    </w:p>
    <w:p w14:paraId="6F503195" w14:textId="36EA49BB" w:rsidR="004547D6" w:rsidRPr="00A87445" w:rsidRDefault="00EE7B2F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Závazek zanikne</w:t>
      </w:r>
      <w:r w:rsidR="004547D6" w:rsidRPr="00A87445">
        <w:rPr>
          <w:szCs w:val="24"/>
        </w:rPr>
        <w:t xml:space="preserve"> dnem doručení oznámení o odstoupení od smlouvy druhé smluvní straně, nebo dnem uvedeným v oznámení. </w:t>
      </w:r>
    </w:p>
    <w:p w14:paraId="728B13B1" w14:textId="77777777" w:rsidR="004547D6" w:rsidRPr="00A87445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Odstoupení od této smlouvy či jiné ukončení smluvního vztahu založeného touto smlouvou se nedotýká práva na zaplacení smluvní pokuty nebo úroku z prodlení, pokud již dospěl, práva na náhradu škody vzniklé z porušení smluvní povinnosti ani ujednání, které má vzhledem ke své povaze zavazovat strany i po odstoupení od smlouvy. </w:t>
      </w:r>
    </w:p>
    <w:p w14:paraId="5C7F6329" w14:textId="77777777" w:rsidR="004547D6" w:rsidRPr="00A87445" w:rsidRDefault="004547D6" w:rsidP="004547D6">
      <w:pPr>
        <w:pStyle w:val="Default"/>
        <w:spacing w:after="138"/>
        <w:rPr>
          <w:rFonts w:ascii="Times New Roman" w:hAnsi="Times New Roman" w:cs="Times New Roman"/>
          <w:color w:val="auto"/>
        </w:rPr>
      </w:pPr>
    </w:p>
    <w:p w14:paraId="1E0C1176" w14:textId="3CAEB762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</w:rPr>
      </w:pPr>
      <w:r w:rsidRPr="00A87445">
        <w:rPr>
          <w:rFonts w:ascii="Times New Roman" w:hAnsi="Times New Roman" w:cs="Times New Roman"/>
          <w:b/>
        </w:rPr>
        <w:t>Článek X</w:t>
      </w:r>
      <w:r w:rsidR="00361EB3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I</w:t>
      </w:r>
      <w:r w:rsidRPr="00A87445">
        <w:rPr>
          <w:rFonts w:ascii="Times New Roman" w:hAnsi="Times New Roman" w:cs="Times New Roman"/>
          <w:b/>
        </w:rPr>
        <w:t>.</w:t>
      </w:r>
    </w:p>
    <w:p w14:paraId="50068F1E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A87445">
        <w:rPr>
          <w:rFonts w:ascii="Times New Roman" w:hAnsi="Times New Roman" w:cs="Times New Roman"/>
          <w:b/>
        </w:rPr>
        <w:t>Závěrečná ustanovení</w:t>
      </w:r>
    </w:p>
    <w:p w14:paraId="26AD5508" w14:textId="77777777" w:rsidR="00983AD8" w:rsidRPr="00A87445" w:rsidRDefault="00983AD8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62A3D34B" w14:textId="5EFB74FE" w:rsidR="004547D6" w:rsidRPr="00FC1259" w:rsidRDefault="004547D6" w:rsidP="00C10A25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FB17F4">
        <w:rPr>
          <w:szCs w:val="24"/>
        </w:rPr>
        <w:t xml:space="preserve">Tato smlouva nabývá platnosti dnem jejího podpisu oprávněnými zástupci obou smluvních stran a účinnosti dnem jejího uveřejnění dle zákona č. 340/2015 Sb., </w:t>
      </w:r>
      <w:r w:rsidR="008777DD" w:rsidRPr="008777DD">
        <w:rPr>
          <w:szCs w:val="24"/>
        </w:rPr>
        <w:t xml:space="preserve">o zvláštních podmínkách účinnosti některých smluv, uveřejňování těchto smluv a o registru smluv </w:t>
      </w:r>
      <w:r w:rsidR="008777DD" w:rsidRPr="008777DD">
        <w:rPr>
          <w:szCs w:val="24"/>
        </w:rPr>
        <w:lastRenderedPageBreak/>
        <w:t>(zákon o registru smluv)</w:t>
      </w:r>
      <w:r w:rsidR="009904AE" w:rsidRPr="008777DD">
        <w:rPr>
          <w:szCs w:val="24"/>
        </w:rPr>
        <w:t>,</w:t>
      </w:r>
      <w:r w:rsidR="009904AE" w:rsidRPr="00FB17F4">
        <w:rPr>
          <w:szCs w:val="24"/>
        </w:rPr>
        <w:t xml:space="preserve"> nejdříve však </w:t>
      </w:r>
      <w:r w:rsidR="00FB17F4" w:rsidRPr="00FB17F4">
        <w:rPr>
          <w:szCs w:val="24"/>
        </w:rPr>
        <w:t xml:space="preserve">27. října </w:t>
      </w:r>
      <w:r w:rsidR="00C10A25" w:rsidRPr="00FB17F4">
        <w:rPr>
          <w:szCs w:val="24"/>
        </w:rPr>
        <w:t>202</w:t>
      </w:r>
      <w:r w:rsidR="00C10A25">
        <w:rPr>
          <w:szCs w:val="24"/>
        </w:rPr>
        <w:t>4</w:t>
      </w:r>
      <w:r w:rsidRPr="00FB17F4">
        <w:rPr>
          <w:szCs w:val="24"/>
        </w:rPr>
        <w:t>.</w:t>
      </w:r>
      <w:r w:rsidR="00C10A25" w:rsidRPr="00C10A25">
        <w:rPr>
          <w:szCs w:val="24"/>
        </w:rPr>
        <w:t xml:space="preserve"> </w:t>
      </w:r>
      <w:r w:rsidR="00C10A25" w:rsidRPr="00A87445">
        <w:rPr>
          <w:szCs w:val="24"/>
        </w:rPr>
        <w:t>Uveřejnění smlouvy zajistí objednatel.</w:t>
      </w:r>
    </w:p>
    <w:p w14:paraId="41EDD7B6" w14:textId="77777777" w:rsidR="004547D6" w:rsidRPr="00A87445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Smluvní strany výslovně souhlasí s tím, aby tato smlouva byla veřejně přístupná</w:t>
      </w:r>
      <w:r>
        <w:rPr>
          <w:szCs w:val="24"/>
        </w:rPr>
        <w:t xml:space="preserve"> v celém rozsahu</w:t>
      </w:r>
      <w:r w:rsidRPr="00A87445">
        <w:rPr>
          <w:szCs w:val="24"/>
        </w:rPr>
        <w:t>.</w:t>
      </w:r>
    </w:p>
    <w:p w14:paraId="5C79376F" w14:textId="4651004A" w:rsidR="004547D6" w:rsidRPr="00A87445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Změny a doplňky této smlouvy lze provést pouze formou písemných</w:t>
      </w:r>
      <w:r w:rsidR="00C10A25">
        <w:rPr>
          <w:szCs w:val="24"/>
        </w:rPr>
        <w:t>, vzestupně</w:t>
      </w:r>
      <w:r w:rsidRPr="00A87445">
        <w:rPr>
          <w:szCs w:val="24"/>
        </w:rPr>
        <w:t xml:space="preserve"> číslovaných dodatků.</w:t>
      </w:r>
    </w:p>
    <w:p w14:paraId="315080C1" w14:textId="77777777" w:rsidR="004547D6" w:rsidRPr="00A87445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V případě, že by některé ustanovení této smlouvy stalo</w:t>
      </w:r>
      <w:r>
        <w:rPr>
          <w:szCs w:val="24"/>
        </w:rPr>
        <w:t xml:space="preserve"> zdánlivé,</w:t>
      </w:r>
      <w:r w:rsidRPr="00A87445">
        <w:rPr>
          <w:szCs w:val="24"/>
        </w:rPr>
        <w:t xml:space="preserve"> neplatné či neúčinné, nezpůsobuje tato skutečnost neplatnost ani neúčinnost ostatních částí smlouvy. Smluvní strany se ho zavazují po vzájemné dohodě nahradit jiným ustanovením, blížícím se svým obsahem nejvíce účelu </w:t>
      </w:r>
      <w:r>
        <w:rPr>
          <w:szCs w:val="24"/>
        </w:rPr>
        <w:t xml:space="preserve">zdánlivého, </w:t>
      </w:r>
      <w:r w:rsidRPr="00A87445">
        <w:rPr>
          <w:szCs w:val="24"/>
        </w:rPr>
        <w:t xml:space="preserve">neplatného či neúčinného ustanovení. </w:t>
      </w:r>
    </w:p>
    <w:p w14:paraId="7868475F" w14:textId="775EFAFE" w:rsidR="004547D6" w:rsidRPr="00A87445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Smluvní vztahy výslovně neupravené touto smlouvou, nebo upravené jen částečně, se řídí </w:t>
      </w:r>
      <w:r w:rsidR="00C10A25" w:rsidRPr="00A87445">
        <w:rPr>
          <w:szCs w:val="24"/>
        </w:rPr>
        <w:t xml:space="preserve">ustanoveními </w:t>
      </w:r>
      <w:r w:rsidRPr="00A87445">
        <w:rPr>
          <w:szCs w:val="24"/>
        </w:rPr>
        <w:t>příslušný</w:t>
      </w:r>
      <w:r w:rsidR="00C10A25">
        <w:rPr>
          <w:szCs w:val="24"/>
        </w:rPr>
        <w:t>ch</w:t>
      </w:r>
      <w:r w:rsidRPr="00A87445">
        <w:rPr>
          <w:szCs w:val="24"/>
        </w:rPr>
        <w:t xml:space="preserve"> </w:t>
      </w:r>
      <w:r w:rsidR="00C10A25">
        <w:rPr>
          <w:szCs w:val="24"/>
        </w:rPr>
        <w:t xml:space="preserve">právních předpisů, zejména </w:t>
      </w:r>
      <w:r w:rsidR="00803F42">
        <w:rPr>
          <w:szCs w:val="24"/>
        </w:rPr>
        <w:t>o</w:t>
      </w:r>
      <w:r w:rsidRPr="00A87445">
        <w:rPr>
          <w:szCs w:val="24"/>
        </w:rPr>
        <w:t>bčansk</w:t>
      </w:r>
      <w:r w:rsidR="00C84583">
        <w:rPr>
          <w:szCs w:val="24"/>
        </w:rPr>
        <w:t>ým</w:t>
      </w:r>
      <w:r w:rsidRPr="00A87445">
        <w:rPr>
          <w:szCs w:val="24"/>
        </w:rPr>
        <w:t xml:space="preserve"> zákoník</w:t>
      </w:r>
      <w:r w:rsidR="00C84583">
        <w:rPr>
          <w:szCs w:val="24"/>
        </w:rPr>
        <w:t>em</w:t>
      </w:r>
      <w:r w:rsidR="00C10A25">
        <w:rPr>
          <w:szCs w:val="24"/>
        </w:rPr>
        <w:t xml:space="preserve"> a</w:t>
      </w:r>
      <w:r w:rsidRPr="00A87445">
        <w:rPr>
          <w:szCs w:val="24"/>
        </w:rPr>
        <w:t xml:space="preserve"> </w:t>
      </w:r>
      <w:r w:rsidR="00C84583">
        <w:rPr>
          <w:szCs w:val="24"/>
        </w:rPr>
        <w:t>a</w:t>
      </w:r>
      <w:r w:rsidR="00C84583" w:rsidRPr="00A87445">
        <w:rPr>
          <w:szCs w:val="24"/>
        </w:rPr>
        <w:t>utorsk</w:t>
      </w:r>
      <w:r w:rsidR="00C84583">
        <w:rPr>
          <w:szCs w:val="24"/>
        </w:rPr>
        <w:t>ým</w:t>
      </w:r>
      <w:r w:rsidR="00C84583" w:rsidRPr="00A87445">
        <w:rPr>
          <w:szCs w:val="24"/>
        </w:rPr>
        <w:t xml:space="preserve"> </w:t>
      </w:r>
      <w:r w:rsidRPr="00A87445">
        <w:rPr>
          <w:szCs w:val="24"/>
        </w:rPr>
        <w:t>zákon</w:t>
      </w:r>
      <w:r w:rsidR="00C84583">
        <w:rPr>
          <w:szCs w:val="24"/>
        </w:rPr>
        <w:t>em</w:t>
      </w:r>
      <w:r w:rsidRPr="00A87445">
        <w:rPr>
          <w:szCs w:val="24"/>
        </w:rPr>
        <w:t>.</w:t>
      </w:r>
    </w:p>
    <w:p w14:paraId="538710DB" w14:textId="007460A8" w:rsidR="004547D6" w:rsidRPr="00A87445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Tato smlouva je vyhotovena ve třech (3) stejnopisech s platnost</w:t>
      </w:r>
      <w:r>
        <w:rPr>
          <w:szCs w:val="24"/>
        </w:rPr>
        <w:t>í</w:t>
      </w:r>
      <w:r w:rsidRPr="00A87445">
        <w:rPr>
          <w:szCs w:val="24"/>
        </w:rPr>
        <w:t xml:space="preserve"> originálu, z nichž </w:t>
      </w:r>
      <w:r w:rsidR="009904AE">
        <w:rPr>
          <w:szCs w:val="24"/>
        </w:rPr>
        <w:t>dodavatel</w:t>
      </w:r>
      <w:r w:rsidRPr="00A87445">
        <w:rPr>
          <w:szCs w:val="24"/>
        </w:rPr>
        <w:t xml:space="preserve"> obdrží </w:t>
      </w:r>
      <w:r w:rsidR="00C84583">
        <w:rPr>
          <w:szCs w:val="24"/>
        </w:rPr>
        <w:t xml:space="preserve">jeden </w:t>
      </w:r>
      <w:r w:rsidRPr="00A87445">
        <w:rPr>
          <w:szCs w:val="24"/>
        </w:rPr>
        <w:t xml:space="preserve">(1) stejnopis a objednatel obdrží </w:t>
      </w:r>
      <w:r w:rsidR="00C84583">
        <w:rPr>
          <w:szCs w:val="24"/>
        </w:rPr>
        <w:t xml:space="preserve">dva </w:t>
      </w:r>
      <w:r w:rsidRPr="00A87445">
        <w:rPr>
          <w:szCs w:val="24"/>
        </w:rPr>
        <w:t>(2) stejnopisy.</w:t>
      </w:r>
    </w:p>
    <w:p w14:paraId="7DA60D16" w14:textId="0728B2C4" w:rsidR="004547D6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Nedílnou součástí této smlouvy je příloha č. 1 – </w:t>
      </w:r>
      <w:r w:rsidR="00361EB3">
        <w:rPr>
          <w:szCs w:val="24"/>
        </w:rPr>
        <w:t xml:space="preserve">Podrobná specifikace </w:t>
      </w:r>
      <w:r w:rsidR="009904AE">
        <w:rPr>
          <w:szCs w:val="24"/>
        </w:rPr>
        <w:t>technické podpory</w:t>
      </w:r>
      <w:r>
        <w:rPr>
          <w:szCs w:val="24"/>
        </w:rPr>
        <w:t>, příloha č. 2 –</w:t>
      </w:r>
      <w:r w:rsidR="009904AE">
        <w:rPr>
          <w:szCs w:val="24"/>
        </w:rPr>
        <w:t xml:space="preserve"> </w:t>
      </w:r>
      <w:r w:rsidRPr="0002741E">
        <w:rPr>
          <w:szCs w:val="24"/>
        </w:rPr>
        <w:t>Seznam technických poradců</w:t>
      </w:r>
      <w:r w:rsidR="008777DD">
        <w:rPr>
          <w:szCs w:val="24"/>
        </w:rPr>
        <w:t>.</w:t>
      </w:r>
    </w:p>
    <w:p w14:paraId="3F5ED09C" w14:textId="0D60DDBD" w:rsidR="00EC0663" w:rsidRDefault="00EC0663" w:rsidP="00EC0663">
      <w:pPr>
        <w:spacing w:after="120" w:line="240" w:lineRule="auto"/>
        <w:rPr>
          <w:szCs w:val="24"/>
        </w:rPr>
      </w:pPr>
    </w:p>
    <w:p w14:paraId="0320B961" w14:textId="44E0C229" w:rsidR="00EC0663" w:rsidRDefault="00EC0663" w:rsidP="00EC0663">
      <w:pPr>
        <w:pStyle w:val="Zkladntext"/>
        <w:spacing w:before="7"/>
      </w:pPr>
      <w:r>
        <w:t>Tato smlouva byla schválena Radou městské části Praha 12 dne ………… usnesením č. …………….</w:t>
      </w:r>
    </w:p>
    <w:p w14:paraId="582753DB" w14:textId="77777777" w:rsidR="00EC0663" w:rsidRPr="00A87445" w:rsidRDefault="00EC0663" w:rsidP="00EC0663">
      <w:pPr>
        <w:spacing w:after="120" w:line="240" w:lineRule="auto"/>
        <w:rPr>
          <w:szCs w:val="24"/>
        </w:rPr>
      </w:pPr>
    </w:p>
    <w:p w14:paraId="6650FCCD" w14:textId="77777777" w:rsidR="004547D6" w:rsidRPr="00D90E3D" w:rsidRDefault="004547D6" w:rsidP="004547D6">
      <w:pPr>
        <w:spacing w:after="120" w:line="240" w:lineRule="auto"/>
        <w:rPr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4"/>
        <w:gridCol w:w="684"/>
        <w:gridCol w:w="4224"/>
      </w:tblGrid>
      <w:tr w:rsidR="004547D6" w:rsidRPr="00D90E3D" w14:paraId="4DBEC165" w14:textId="77777777" w:rsidTr="00B14822">
        <w:tc>
          <w:tcPr>
            <w:tcW w:w="4077" w:type="dxa"/>
            <w:hideMark/>
          </w:tcPr>
          <w:p w14:paraId="4BFF2F65" w14:textId="77777777" w:rsidR="004547D6" w:rsidRPr="00B61A43" w:rsidRDefault="004547D6" w:rsidP="00B14822">
            <w:r w:rsidRPr="00B61A43">
              <w:rPr>
                <w:snapToGrid w:val="0"/>
              </w:rPr>
              <w:t>Za objednatele:</w:t>
            </w:r>
          </w:p>
        </w:tc>
        <w:tc>
          <w:tcPr>
            <w:tcW w:w="284" w:type="dxa"/>
          </w:tcPr>
          <w:p w14:paraId="17CA1740" w14:textId="77777777" w:rsidR="004547D6" w:rsidRPr="00A0550F" w:rsidRDefault="004547D6" w:rsidP="00B14822"/>
        </w:tc>
        <w:tc>
          <w:tcPr>
            <w:tcW w:w="4266" w:type="dxa"/>
            <w:hideMark/>
          </w:tcPr>
          <w:p w14:paraId="3EEAB8C2" w14:textId="77777777" w:rsidR="004547D6" w:rsidRPr="00A0550F" w:rsidRDefault="004547D6" w:rsidP="009904AE">
            <w:r w:rsidRPr="00A0550F">
              <w:rPr>
                <w:snapToGrid w:val="0"/>
              </w:rPr>
              <w:t xml:space="preserve">Za </w:t>
            </w:r>
            <w:r w:rsidR="009904AE">
              <w:rPr>
                <w:snapToGrid w:val="0"/>
              </w:rPr>
              <w:t>dodavatele</w:t>
            </w:r>
            <w:r w:rsidRPr="00A0550F">
              <w:rPr>
                <w:snapToGrid w:val="0"/>
              </w:rPr>
              <w:t>:</w:t>
            </w:r>
          </w:p>
        </w:tc>
      </w:tr>
      <w:tr w:rsidR="004547D6" w:rsidRPr="00D90E3D" w14:paraId="222E5C83" w14:textId="77777777" w:rsidTr="00B14822">
        <w:tc>
          <w:tcPr>
            <w:tcW w:w="4077" w:type="dxa"/>
            <w:hideMark/>
          </w:tcPr>
          <w:p w14:paraId="2A0E0E25" w14:textId="77777777" w:rsidR="004547D6" w:rsidRPr="00D90E3D" w:rsidRDefault="004547D6" w:rsidP="00B14822">
            <w:pPr>
              <w:spacing w:before="120"/>
            </w:pPr>
            <w:r w:rsidRPr="00D90E3D">
              <w:rPr>
                <w:snapToGrid w:val="0"/>
              </w:rPr>
              <w:t>V Praze dne .....................</w:t>
            </w:r>
          </w:p>
        </w:tc>
        <w:tc>
          <w:tcPr>
            <w:tcW w:w="284" w:type="dxa"/>
          </w:tcPr>
          <w:p w14:paraId="78415BBC" w14:textId="77777777" w:rsidR="004547D6" w:rsidRPr="00A87445" w:rsidRDefault="004547D6" w:rsidP="00B14822"/>
        </w:tc>
        <w:tc>
          <w:tcPr>
            <w:tcW w:w="4266" w:type="dxa"/>
            <w:hideMark/>
          </w:tcPr>
          <w:p w14:paraId="7E692145" w14:textId="35333AEE" w:rsidR="004547D6" w:rsidRPr="003852C6" w:rsidRDefault="004547D6" w:rsidP="00B14822">
            <w:pPr>
              <w:spacing w:before="120"/>
            </w:pPr>
            <w:r w:rsidRPr="003852C6">
              <w:rPr>
                <w:snapToGrid w:val="0"/>
              </w:rPr>
              <w:t xml:space="preserve">V </w:t>
            </w:r>
            <w:r w:rsidR="00361EB3" w:rsidRPr="00F841D1">
              <w:rPr>
                <w:b/>
                <w:i/>
                <w:sz w:val="22"/>
                <w:highlight w:val="yellow"/>
              </w:rPr>
              <w:t>(doplní účastník)</w:t>
            </w:r>
            <w:r w:rsidRPr="003852C6">
              <w:rPr>
                <w:snapToGrid w:val="0"/>
              </w:rPr>
              <w:t xml:space="preserve"> dne .....................</w:t>
            </w:r>
          </w:p>
        </w:tc>
      </w:tr>
      <w:tr w:rsidR="004547D6" w:rsidRPr="00D90E3D" w14:paraId="044190C6" w14:textId="77777777" w:rsidTr="00B14822">
        <w:trPr>
          <w:trHeight w:val="1286"/>
        </w:trPr>
        <w:tc>
          <w:tcPr>
            <w:tcW w:w="4077" w:type="dxa"/>
            <w:vAlign w:val="bottom"/>
            <w:hideMark/>
          </w:tcPr>
          <w:p w14:paraId="679FDE96" w14:textId="77777777" w:rsidR="004547D6" w:rsidRPr="00D90E3D" w:rsidRDefault="004547D6" w:rsidP="00B14822">
            <w:pPr>
              <w:jc w:val="center"/>
            </w:pPr>
            <w:r w:rsidRPr="00D90E3D">
              <w:t>..........................................................</w:t>
            </w:r>
          </w:p>
        </w:tc>
        <w:tc>
          <w:tcPr>
            <w:tcW w:w="284" w:type="dxa"/>
          </w:tcPr>
          <w:p w14:paraId="7B2B07E4" w14:textId="77777777" w:rsidR="004547D6" w:rsidRPr="00A87445" w:rsidRDefault="004547D6" w:rsidP="00B14822"/>
          <w:p w14:paraId="3CDAA925" w14:textId="77777777" w:rsidR="004547D6" w:rsidRPr="003852C6" w:rsidRDefault="004547D6" w:rsidP="00B14822"/>
          <w:p w14:paraId="2B97B8E6" w14:textId="77777777" w:rsidR="004547D6" w:rsidRPr="003852C6" w:rsidRDefault="004547D6" w:rsidP="00B14822"/>
        </w:tc>
        <w:tc>
          <w:tcPr>
            <w:tcW w:w="4266" w:type="dxa"/>
            <w:vAlign w:val="bottom"/>
            <w:hideMark/>
          </w:tcPr>
          <w:p w14:paraId="769D1BD4" w14:textId="77777777" w:rsidR="004547D6" w:rsidRPr="003852C6" w:rsidRDefault="004547D6" w:rsidP="00B14822">
            <w:pPr>
              <w:jc w:val="center"/>
            </w:pPr>
            <w:r w:rsidRPr="003852C6">
              <w:t>..........................................................</w:t>
            </w:r>
          </w:p>
        </w:tc>
      </w:tr>
      <w:tr w:rsidR="004547D6" w:rsidRPr="00D90E3D" w14:paraId="713EFE64" w14:textId="77777777" w:rsidTr="00B14822">
        <w:tc>
          <w:tcPr>
            <w:tcW w:w="4077" w:type="dxa"/>
            <w:vAlign w:val="bottom"/>
            <w:hideMark/>
          </w:tcPr>
          <w:p w14:paraId="625BC00A" w14:textId="7A6746C3" w:rsidR="004547D6" w:rsidRPr="00D90E3D" w:rsidRDefault="00C10A25" w:rsidP="00B14822">
            <w:pPr>
              <w:pStyle w:val="Identifikacestran"/>
              <w:jc w:val="center"/>
            </w:pPr>
            <w:r>
              <w:t>Ing. Vojtěch Kos, MBA</w:t>
            </w:r>
          </w:p>
          <w:p w14:paraId="74E31DBD" w14:textId="77777777" w:rsidR="004547D6" w:rsidRPr="00A87445" w:rsidRDefault="004547D6" w:rsidP="00B14822">
            <w:pPr>
              <w:pStyle w:val="Identifikacestran"/>
              <w:jc w:val="center"/>
            </w:pPr>
            <w:r>
              <w:t>starost</w:t>
            </w:r>
            <w:r w:rsidRPr="00A87445">
              <w:t>a</w:t>
            </w:r>
          </w:p>
        </w:tc>
        <w:tc>
          <w:tcPr>
            <w:tcW w:w="284" w:type="dxa"/>
            <w:vAlign w:val="bottom"/>
          </w:tcPr>
          <w:p w14:paraId="47F8E142" w14:textId="77777777" w:rsidR="004547D6" w:rsidRPr="003852C6" w:rsidRDefault="004547D6" w:rsidP="00B14822">
            <w:pPr>
              <w:jc w:val="center"/>
            </w:pPr>
          </w:p>
        </w:tc>
        <w:tc>
          <w:tcPr>
            <w:tcW w:w="4266" w:type="dxa"/>
            <w:vAlign w:val="bottom"/>
            <w:hideMark/>
          </w:tcPr>
          <w:p w14:paraId="31E675B9" w14:textId="0D2F9014" w:rsidR="004547D6" w:rsidRPr="003852C6" w:rsidRDefault="00361EB3" w:rsidP="00B14822">
            <w:pPr>
              <w:pStyle w:val="Identifikacestran"/>
              <w:jc w:val="center"/>
              <w:rPr>
                <w:sz w:val="22"/>
              </w:rPr>
            </w:pPr>
            <w:r w:rsidRPr="00F841D1">
              <w:rPr>
                <w:b/>
                <w:i/>
                <w:sz w:val="22"/>
                <w:szCs w:val="22"/>
                <w:highlight w:val="yellow"/>
              </w:rPr>
              <w:t>(doplní účastník)</w:t>
            </w:r>
          </w:p>
        </w:tc>
      </w:tr>
    </w:tbl>
    <w:p w14:paraId="18B22769" w14:textId="77777777" w:rsidR="004547D6" w:rsidRPr="00D90E3D" w:rsidRDefault="004547D6" w:rsidP="004547D6">
      <w:pPr>
        <w:pStyle w:val="Default"/>
        <w:rPr>
          <w:rFonts w:ascii="Times New Roman" w:hAnsi="Times New Roman" w:cs="Times New Roman"/>
          <w:color w:val="auto"/>
        </w:rPr>
      </w:pPr>
    </w:p>
    <w:p w14:paraId="059E9BF9" w14:textId="77777777" w:rsidR="004547D6" w:rsidRDefault="004547D6" w:rsidP="004547D6">
      <w:pPr>
        <w:rPr>
          <w:b/>
          <w:szCs w:val="24"/>
        </w:rPr>
        <w:sectPr w:rsidR="004547D6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0D2551B" w14:textId="74921E26" w:rsidR="004547D6" w:rsidRPr="008F6402" w:rsidRDefault="004547D6" w:rsidP="004547D6">
      <w:pPr>
        <w:rPr>
          <w:b/>
          <w:szCs w:val="24"/>
        </w:rPr>
      </w:pPr>
      <w:r w:rsidRPr="00A0550F">
        <w:rPr>
          <w:b/>
          <w:szCs w:val="24"/>
        </w:rPr>
        <w:lastRenderedPageBreak/>
        <w:t xml:space="preserve">Příloha č. 1 - </w:t>
      </w:r>
      <w:r w:rsidR="009904AE" w:rsidRPr="009904AE">
        <w:rPr>
          <w:b/>
          <w:szCs w:val="24"/>
        </w:rPr>
        <w:t>Podrobná specifikace technické podpory</w:t>
      </w:r>
    </w:p>
    <w:p w14:paraId="1017C8C0" w14:textId="77777777" w:rsidR="00D26259" w:rsidRDefault="00D26259" w:rsidP="00D26259">
      <w:pPr>
        <w:autoSpaceDE w:val="0"/>
        <w:autoSpaceDN w:val="0"/>
        <w:adjustRightInd w:val="0"/>
        <w:spacing w:after="60" w:line="240" w:lineRule="auto"/>
        <w:rPr>
          <w:b/>
          <w:i/>
          <w:szCs w:val="24"/>
          <w:highlight w:val="lightGray"/>
        </w:rPr>
      </w:pPr>
    </w:p>
    <w:p w14:paraId="7B7D1C5A" w14:textId="77777777" w:rsidR="00D26259" w:rsidRPr="00DB2760" w:rsidRDefault="00D26259" w:rsidP="00D26259">
      <w:pPr>
        <w:autoSpaceDE w:val="0"/>
        <w:autoSpaceDN w:val="0"/>
        <w:adjustRightInd w:val="0"/>
        <w:spacing w:after="60" w:line="240" w:lineRule="auto"/>
        <w:rPr>
          <w:b/>
          <w:i/>
          <w:szCs w:val="24"/>
        </w:rPr>
      </w:pPr>
      <w:r w:rsidRPr="00361EB3">
        <w:rPr>
          <w:b/>
          <w:i/>
          <w:szCs w:val="24"/>
          <w:highlight w:val="yellow"/>
        </w:rPr>
        <w:t>(doplní účastník dle pokynů uvedených v příloze č. 1 výzvy k podání nabídky)</w:t>
      </w:r>
    </w:p>
    <w:p w14:paraId="09B5A827" w14:textId="77777777" w:rsidR="004547D6" w:rsidRPr="00910C52" w:rsidRDefault="004547D6" w:rsidP="004547D6">
      <w:pPr>
        <w:rPr>
          <w:b/>
        </w:rPr>
      </w:pPr>
    </w:p>
    <w:p w14:paraId="19009299" w14:textId="77777777" w:rsidR="004547D6" w:rsidRPr="00D90E3D" w:rsidRDefault="004547D6" w:rsidP="004547D6">
      <w:pPr>
        <w:pStyle w:val="Ploha"/>
        <w:rPr>
          <w:sz w:val="28"/>
          <w:szCs w:val="28"/>
        </w:rPr>
      </w:pPr>
    </w:p>
    <w:p w14:paraId="4604B46C" w14:textId="77777777" w:rsidR="004547D6" w:rsidRPr="00D90E3D" w:rsidRDefault="004547D6" w:rsidP="004547D6">
      <w:pPr>
        <w:pStyle w:val="Ploha"/>
        <w:rPr>
          <w:sz w:val="28"/>
          <w:szCs w:val="28"/>
        </w:rPr>
      </w:pPr>
    </w:p>
    <w:p w14:paraId="3D8A7FF5" w14:textId="77777777" w:rsidR="004547D6" w:rsidRDefault="004547D6" w:rsidP="004547D6">
      <w:r>
        <w:br w:type="page"/>
      </w:r>
    </w:p>
    <w:p w14:paraId="055BA2FD" w14:textId="77777777" w:rsidR="004547D6" w:rsidRDefault="004547D6" w:rsidP="009904AE">
      <w:pPr>
        <w:rPr>
          <w:b/>
          <w:szCs w:val="24"/>
        </w:rPr>
      </w:pPr>
      <w:r w:rsidRPr="00A0550F">
        <w:rPr>
          <w:b/>
          <w:szCs w:val="24"/>
        </w:rPr>
        <w:lastRenderedPageBreak/>
        <w:t xml:space="preserve">Příloha č. </w:t>
      </w:r>
      <w:r>
        <w:rPr>
          <w:b/>
          <w:szCs w:val="24"/>
        </w:rPr>
        <w:t>2 – Seznam technických poradců</w:t>
      </w:r>
    </w:p>
    <w:p w14:paraId="2788743E" w14:textId="77777777" w:rsidR="004547D6" w:rsidRDefault="004547D6" w:rsidP="004547D6">
      <w:pPr>
        <w:autoSpaceDE w:val="0"/>
        <w:autoSpaceDN w:val="0"/>
        <w:adjustRightInd w:val="0"/>
        <w:spacing w:after="60" w:line="240" w:lineRule="auto"/>
        <w:rPr>
          <w:b/>
          <w:i/>
          <w:szCs w:val="24"/>
          <w:highlight w:val="lightGray"/>
        </w:rPr>
      </w:pPr>
    </w:p>
    <w:p w14:paraId="38E02812" w14:textId="77777777" w:rsidR="004547D6" w:rsidRPr="00361EB3" w:rsidRDefault="004547D6" w:rsidP="004547D6">
      <w:pPr>
        <w:autoSpaceDE w:val="0"/>
        <w:autoSpaceDN w:val="0"/>
        <w:adjustRightInd w:val="0"/>
        <w:spacing w:after="60" w:line="240" w:lineRule="auto"/>
        <w:rPr>
          <w:b/>
          <w:i/>
          <w:szCs w:val="24"/>
          <w:highlight w:val="yellow"/>
        </w:rPr>
      </w:pPr>
      <w:r w:rsidRPr="00361EB3">
        <w:rPr>
          <w:b/>
          <w:i/>
          <w:szCs w:val="24"/>
          <w:highlight w:val="yellow"/>
        </w:rPr>
        <w:t>(účastník doplní technické poradce, které využije k</w:t>
      </w:r>
      <w:r w:rsidR="009904AE" w:rsidRPr="00361EB3">
        <w:rPr>
          <w:b/>
          <w:i/>
          <w:szCs w:val="24"/>
          <w:highlight w:val="yellow"/>
        </w:rPr>
        <w:t> poskytování technické podpory</w:t>
      </w:r>
      <w:r w:rsidRPr="00361EB3">
        <w:rPr>
          <w:b/>
          <w:i/>
          <w:szCs w:val="24"/>
          <w:highlight w:val="yellow"/>
        </w:rPr>
        <w:t xml:space="preserve">, včetně označení těch technických poradců, prostřednictvím nichž </w:t>
      </w:r>
      <w:r w:rsidR="00392E8E" w:rsidRPr="00361EB3">
        <w:rPr>
          <w:b/>
          <w:i/>
          <w:szCs w:val="24"/>
          <w:highlight w:val="yellow"/>
        </w:rPr>
        <w:t>dodavatel</w:t>
      </w:r>
      <w:r w:rsidRPr="00361EB3">
        <w:rPr>
          <w:b/>
          <w:i/>
          <w:szCs w:val="24"/>
          <w:highlight w:val="yellow"/>
        </w:rPr>
        <w:t xml:space="preserve"> prokazoval splnění technické kvalifikace ve výběrovém řízení na plnění předmětu této smlouvy)</w:t>
      </w:r>
    </w:p>
    <w:p w14:paraId="0A6E0133" w14:textId="77777777" w:rsidR="004547D6" w:rsidRPr="00D90E3D" w:rsidRDefault="004547D6" w:rsidP="004547D6">
      <w:pPr>
        <w:pStyle w:val="Default"/>
        <w:rPr>
          <w:rFonts w:ascii="Times New Roman" w:hAnsi="Times New Roman" w:cs="Times New Roman"/>
          <w:color w:val="auto"/>
        </w:rPr>
      </w:pPr>
    </w:p>
    <w:p w14:paraId="3930C005" w14:textId="77777777" w:rsidR="00794248" w:rsidRDefault="00794248" w:rsidP="005B109A">
      <w:pPr>
        <w:autoSpaceDE w:val="0"/>
        <w:autoSpaceDN w:val="0"/>
        <w:adjustRightInd w:val="0"/>
        <w:spacing w:after="0" w:line="240" w:lineRule="auto"/>
        <w:ind w:left="0" w:firstLine="0"/>
        <w:jc w:val="center"/>
      </w:pPr>
    </w:p>
    <w:p w14:paraId="1E434607" w14:textId="77777777" w:rsidR="00794248" w:rsidRDefault="00794248" w:rsidP="005B109A">
      <w:pPr>
        <w:autoSpaceDE w:val="0"/>
        <w:autoSpaceDN w:val="0"/>
        <w:adjustRightInd w:val="0"/>
        <w:spacing w:after="0" w:line="240" w:lineRule="auto"/>
        <w:ind w:left="0" w:firstLine="0"/>
        <w:jc w:val="center"/>
      </w:pPr>
    </w:p>
    <w:p w14:paraId="15E23597" w14:textId="77777777" w:rsidR="00794248" w:rsidRDefault="00794248" w:rsidP="005B109A">
      <w:pPr>
        <w:autoSpaceDE w:val="0"/>
        <w:autoSpaceDN w:val="0"/>
        <w:adjustRightInd w:val="0"/>
        <w:spacing w:after="0" w:line="240" w:lineRule="auto"/>
        <w:ind w:left="0" w:firstLine="0"/>
        <w:jc w:val="center"/>
      </w:pPr>
    </w:p>
    <w:p w14:paraId="222E9A6E" w14:textId="77777777" w:rsidR="00122D9C" w:rsidRDefault="00122D9C" w:rsidP="005B109A">
      <w:pPr>
        <w:autoSpaceDE w:val="0"/>
        <w:autoSpaceDN w:val="0"/>
        <w:adjustRightInd w:val="0"/>
        <w:spacing w:after="0" w:line="240" w:lineRule="auto"/>
        <w:ind w:left="0" w:firstLine="0"/>
        <w:jc w:val="center"/>
      </w:pPr>
    </w:p>
    <w:sectPr w:rsidR="00122D9C" w:rsidSect="005B109A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1A816" w14:textId="77777777" w:rsidR="00794955" w:rsidRDefault="00794955">
      <w:pPr>
        <w:spacing w:after="0" w:line="240" w:lineRule="auto"/>
      </w:pPr>
      <w:r>
        <w:separator/>
      </w:r>
    </w:p>
  </w:endnote>
  <w:endnote w:type="continuationSeparator" w:id="0">
    <w:p w14:paraId="3203C866" w14:textId="77777777" w:rsidR="00794955" w:rsidRDefault="0079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76CCB" w14:textId="365A736E" w:rsidR="00794955" w:rsidRPr="003713D0" w:rsidRDefault="00794955" w:rsidP="003713D0">
    <w:pPr>
      <w:pStyle w:val="Zpat"/>
      <w:jc w:val="center"/>
    </w:pPr>
    <w:r w:rsidRPr="003713D0">
      <w:t xml:space="preserve">Strana </w:t>
    </w:r>
    <w:r w:rsidRPr="003713D0">
      <w:rPr>
        <w:bCs/>
        <w:sz w:val="24"/>
        <w:szCs w:val="24"/>
      </w:rPr>
      <w:fldChar w:fldCharType="begin"/>
    </w:r>
    <w:r w:rsidRPr="003713D0">
      <w:rPr>
        <w:bCs/>
      </w:rPr>
      <w:instrText>PAGE</w:instrText>
    </w:r>
    <w:r w:rsidRPr="003713D0">
      <w:rPr>
        <w:bCs/>
        <w:sz w:val="24"/>
        <w:szCs w:val="24"/>
      </w:rPr>
      <w:fldChar w:fldCharType="separate"/>
    </w:r>
    <w:r w:rsidR="00B22DCE">
      <w:rPr>
        <w:bCs/>
        <w:noProof/>
      </w:rPr>
      <w:t>7</w:t>
    </w:r>
    <w:r w:rsidRPr="003713D0">
      <w:rPr>
        <w:bCs/>
        <w:sz w:val="24"/>
        <w:szCs w:val="24"/>
      </w:rPr>
      <w:fldChar w:fldCharType="end"/>
    </w:r>
    <w:r w:rsidRPr="003713D0">
      <w:t xml:space="preserve"> (celkem </w:t>
    </w:r>
    <w:r w:rsidRPr="003713D0">
      <w:rPr>
        <w:bCs/>
        <w:sz w:val="24"/>
        <w:szCs w:val="24"/>
      </w:rPr>
      <w:fldChar w:fldCharType="begin"/>
    </w:r>
    <w:r w:rsidRPr="003713D0">
      <w:rPr>
        <w:bCs/>
      </w:rPr>
      <w:instrText>NUMPAGES</w:instrText>
    </w:r>
    <w:r w:rsidRPr="003713D0">
      <w:rPr>
        <w:bCs/>
        <w:sz w:val="24"/>
        <w:szCs w:val="24"/>
      </w:rPr>
      <w:fldChar w:fldCharType="separate"/>
    </w:r>
    <w:r w:rsidR="00B22DCE">
      <w:rPr>
        <w:bCs/>
        <w:noProof/>
      </w:rPr>
      <w:t>9</w:t>
    </w:r>
    <w:r w:rsidRPr="003713D0">
      <w:rPr>
        <w:bCs/>
        <w:sz w:val="24"/>
        <w:szCs w:val="24"/>
      </w:rPr>
      <w:fldChar w:fldCharType="end"/>
    </w:r>
    <w:r w:rsidRPr="003713D0">
      <w:rPr>
        <w:bCs/>
        <w:sz w:val="24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51039" w14:textId="77777777" w:rsidR="00794955" w:rsidRDefault="00794955">
    <w:pPr>
      <w:spacing w:after="0" w:line="259" w:lineRule="auto"/>
      <w:ind w:left="0" w:right="10" w:firstLine="0"/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(celkem </w:t>
    </w:r>
    <w:r>
      <w:rPr>
        <w:noProof/>
        <w:sz w:val="20"/>
      </w:rPr>
      <w:fldChar w:fldCharType="begin"/>
    </w:r>
    <w:r>
      <w:rPr>
        <w:noProof/>
        <w:sz w:val="20"/>
      </w:rPr>
      <w:instrText xml:space="preserve"> NUMPAGES   \* MERGEFORMAT </w:instrText>
    </w:r>
    <w:r>
      <w:rPr>
        <w:noProof/>
        <w:sz w:val="20"/>
      </w:rPr>
      <w:fldChar w:fldCharType="separate"/>
    </w:r>
    <w:r w:rsidRPr="0056033A">
      <w:rPr>
        <w:noProof/>
        <w:sz w:val="20"/>
      </w:rPr>
      <w:t>29</w:t>
    </w:r>
    <w:r>
      <w:rPr>
        <w:noProof/>
        <w:sz w:val="20"/>
      </w:rPr>
      <w:fldChar w:fldCharType="end"/>
    </w:r>
    <w:r>
      <w:rPr>
        <w:sz w:val="20"/>
      </w:rPr>
      <w:t xml:space="preserve">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1564C" w14:textId="787847CE" w:rsidR="00794955" w:rsidRPr="003713D0" w:rsidRDefault="00794955" w:rsidP="009C34C9">
    <w:pPr>
      <w:pStyle w:val="Zpat"/>
      <w:jc w:val="center"/>
    </w:pPr>
    <w:r w:rsidRPr="003713D0">
      <w:t xml:space="preserve">Strana </w:t>
    </w:r>
    <w:r w:rsidRPr="003713D0">
      <w:rPr>
        <w:bCs/>
        <w:sz w:val="24"/>
        <w:szCs w:val="24"/>
      </w:rPr>
      <w:fldChar w:fldCharType="begin"/>
    </w:r>
    <w:r w:rsidRPr="003713D0">
      <w:rPr>
        <w:bCs/>
      </w:rPr>
      <w:instrText>PAGE</w:instrText>
    </w:r>
    <w:r w:rsidRPr="003713D0">
      <w:rPr>
        <w:bCs/>
        <w:sz w:val="24"/>
        <w:szCs w:val="24"/>
      </w:rPr>
      <w:fldChar w:fldCharType="separate"/>
    </w:r>
    <w:r w:rsidR="00B22DCE">
      <w:rPr>
        <w:bCs/>
        <w:noProof/>
      </w:rPr>
      <w:t>9</w:t>
    </w:r>
    <w:r w:rsidRPr="003713D0">
      <w:rPr>
        <w:bCs/>
        <w:sz w:val="24"/>
        <w:szCs w:val="24"/>
      </w:rPr>
      <w:fldChar w:fldCharType="end"/>
    </w:r>
    <w:r w:rsidRPr="003713D0">
      <w:t xml:space="preserve"> (celkem </w:t>
    </w:r>
    <w:r w:rsidRPr="003713D0">
      <w:rPr>
        <w:bCs/>
        <w:sz w:val="24"/>
        <w:szCs w:val="24"/>
      </w:rPr>
      <w:fldChar w:fldCharType="begin"/>
    </w:r>
    <w:r w:rsidRPr="003713D0">
      <w:rPr>
        <w:bCs/>
      </w:rPr>
      <w:instrText>NUMPAGES</w:instrText>
    </w:r>
    <w:r w:rsidRPr="003713D0">
      <w:rPr>
        <w:bCs/>
        <w:sz w:val="24"/>
        <w:szCs w:val="24"/>
      </w:rPr>
      <w:fldChar w:fldCharType="separate"/>
    </w:r>
    <w:r w:rsidR="00B22DCE">
      <w:rPr>
        <w:bCs/>
        <w:noProof/>
      </w:rPr>
      <w:t>9</w:t>
    </w:r>
    <w:r w:rsidRPr="003713D0">
      <w:rPr>
        <w:bCs/>
        <w:sz w:val="24"/>
        <w:szCs w:val="24"/>
      </w:rPr>
      <w:fldChar w:fldCharType="end"/>
    </w:r>
    <w:r w:rsidRPr="003713D0">
      <w:rPr>
        <w:bCs/>
        <w:sz w:val="24"/>
        <w:szCs w:val="24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02720" w14:textId="77777777" w:rsidR="00794955" w:rsidRDefault="00794955">
    <w:pPr>
      <w:spacing w:after="0" w:line="259" w:lineRule="auto"/>
      <w:ind w:left="0" w:right="10" w:firstLine="0"/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(celkem </w:t>
    </w:r>
    <w:r>
      <w:rPr>
        <w:noProof/>
        <w:sz w:val="20"/>
      </w:rPr>
      <w:fldChar w:fldCharType="begin"/>
    </w:r>
    <w:r>
      <w:rPr>
        <w:noProof/>
        <w:sz w:val="20"/>
      </w:rPr>
      <w:instrText xml:space="preserve"> NUMPAGES   \* MERGEFORMAT </w:instrText>
    </w:r>
    <w:r>
      <w:rPr>
        <w:noProof/>
        <w:sz w:val="20"/>
      </w:rPr>
      <w:fldChar w:fldCharType="separate"/>
    </w:r>
    <w:r w:rsidRPr="0056033A">
      <w:rPr>
        <w:noProof/>
        <w:sz w:val="20"/>
      </w:rPr>
      <w:t>29</w:t>
    </w:r>
    <w:r>
      <w:rPr>
        <w:noProof/>
        <w:sz w:val="20"/>
      </w:rPr>
      <w:fldChar w:fldCharType="end"/>
    </w:r>
    <w:r>
      <w:rPr>
        <w:sz w:val="20"/>
      </w:rP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FEB44" w14:textId="77777777" w:rsidR="00794955" w:rsidRDefault="00794955">
      <w:pPr>
        <w:spacing w:after="0" w:line="240" w:lineRule="auto"/>
      </w:pPr>
      <w:r>
        <w:separator/>
      </w:r>
    </w:p>
  </w:footnote>
  <w:footnote w:type="continuationSeparator" w:id="0">
    <w:p w14:paraId="46A05B26" w14:textId="77777777" w:rsidR="00794955" w:rsidRDefault="00794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9E"/>
    <w:multiLevelType w:val="hybridMultilevel"/>
    <w:tmpl w:val="915E35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A77AA"/>
    <w:multiLevelType w:val="hybridMultilevel"/>
    <w:tmpl w:val="79E0ED9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35573C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B44F4"/>
    <w:multiLevelType w:val="hybridMultilevel"/>
    <w:tmpl w:val="FEA46018"/>
    <w:lvl w:ilvl="0" w:tplc="7DF008AC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060C44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9CE510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021B76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E27FB0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FE360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1E29D8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E6297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AE4F96"/>
    <w:multiLevelType w:val="hybridMultilevel"/>
    <w:tmpl w:val="FA2055B4"/>
    <w:lvl w:ilvl="0" w:tplc="0D7834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84239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2153E7"/>
    <w:multiLevelType w:val="hybridMultilevel"/>
    <w:tmpl w:val="070E06BC"/>
    <w:lvl w:ilvl="0" w:tplc="04050019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36538B"/>
    <w:multiLevelType w:val="hybridMultilevel"/>
    <w:tmpl w:val="91062E76"/>
    <w:lvl w:ilvl="0" w:tplc="A574BAE8">
      <w:start w:val="1"/>
      <w:numFmt w:val="lowerLetter"/>
      <w:lvlText w:val="%1)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93A37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601FC1"/>
    <w:multiLevelType w:val="hybridMultilevel"/>
    <w:tmpl w:val="4B80E606"/>
    <w:lvl w:ilvl="0" w:tplc="448E8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C73D5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C7B48AC"/>
    <w:multiLevelType w:val="hybridMultilevel"/>
    <w:tmpl w:val="3AF07080"/>
    <w:lvl w:ilvl="0" w:tplc="71E83E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4A1026"/>
    <w:multiLevelType w:val="hybridMultilevel"/>
    <w:tmpl w:val="75F25356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 w15:restartNumberingAfterBreak="0">
    <w:nsid w:val="29DE61E4"/>
    <w:multiLevelType w:val="multilevel"/>
    <w:tmpl w:val="1166C320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14" w15:restartNumberingAfterBreak="0">
    <w:nsid w:val="2AB463D0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5C0F11"/>
    <w:multiLevelType w:val="hybridMultilevel"/>
    <w:tmpl w:val="E2FC6A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8C1A38"/>
    <w:multiLevelType w:val="hybridMultilevel"/>
    <w:tmpl w:val="1382A140"/>
    <w:lvl w:ilvl="0" w:tplc="260C0E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FAF0029"/>
    <w:multiLevelType w:val="hybridMultilevel"/>
    <w:tmpl w:val="74CC4CDA"/>
    <w:lvl w:ilvl="0" w:tplc="1FC07066">
      <w:start w:val="5"/>
      <w:numFmt w:val="upperRoman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74BAE8">
      <w:start w:val="1"/>
      <w:numFmt w:val="lowerLetter"/>
      <w:lvlText w:val="%2)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56A8B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0945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EABDB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249F1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AE28A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F29F5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643C1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D77CDC"/>
    <w:multiLevelType w:val="hybridMultilevel"/>
    <w:tmpl w:val="CF102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D11E8"/>
    <w:multiLevelType w:val="hybridMultilevel"/>
    <w:tmpl w:val="4B80E606"/>
    <w:lvl w:ilvl="0" w:tplc="448E8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90EC6"/>
    <w:multiLevelType w:val="hybridMultilevel"/>
    <w:tmpl w:val="C89C99DA"/>
    <w:lvl w:ilvl="0" w:tplc="04050001">
      <w:start w:val="1"/>
      <w:numFmt w:val="bullet"/>
      <w:lvlText w:val=""/>
      <w:lvlJc w:val="left"/>
      <w:pPr>
        <w:ind w:left="16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21" w15:restartNumberingAfterBreak="0">
    <w:nsid w:val="36965203"/>
    <w:multiLevelType w:val="hybridMultilevel"/>
    <w:tmpl w:val="14B4A0C6"/>
    <w:lvl w:ilvl="0" w:tplc="0D7834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75EC2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A28F1"/>
    <w:multiLevelType w:val="hybridMultilevel"/>
    <w:tmpl w:val="D974B82E"/>
    <w:lvl w:ilvl="0" w:tplc="9378D494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7">
      <w:start w:val="1"/>
      <w:numFmt w:val="lowerLetter"/>
      <w:lvlText w:val="%2)"/>
      <w:lvlJc w:val="left"/>
      <w:pPr>
        <w:ind w:left="127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0E4C60">
      <w:start w:val="1"/>
      <w:numFmt w:val="lowerRoman"/>
      <w:lvlText w:val="%3"/>
      <w:lvlJc w:val="left"/>
      <w:pPr>
        <w:ind w:left="2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6DC12">
      <w:start w:val="1"/>
      <w:numFmt w:val="decimal"/>
      <w:lvlText w:val="%4"/>
      <w:lvlJc w:val="left"/>
      <w:pPr>
        <w:ind w:left="2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8C5DF6">
      <w:start w:val="1"/>
      <w:numFmt w:val="lowerLetter"/>
      <w:lvlText w:val="%5"/>
      <w:lvlJc w:val="left"/>
      <w:pPr>
        <w:ind w:left="3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B403DA">
      <w:start w:val="1"/>
      <w:numFmt w:val="lowerRoman"/>
      <w:lvlText w:val="%6"/>
      <w:lvlJc w:val="left"/>
      <w:pPr>
        <w:ind w:left="4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56D748">
      <w:start w:val="1"/>
      <w:numFmt w:val="decimal"/>
      <w:lvlText w:val="%7"/>
      <w:lvlJc w:val="left"/>
      <w:pPr>
        <w:ind w:left="4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94E01E">
      <w:start w:val="1"/>
      <w:numFmt w:val="lowerLetter"/>
      <w:lvlText w:val="%8"/>
      <w:lvlJc w:val="left"/>
      <w:pPr>
        <w:ind w:left="5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62B638">
      <w:start w:val="1"/>
      <w:numFmt w:val="lowerRoman"/>
      <w:lvlText w:val="%9"/>
      <w:lvlJc w:val="left"/>
      <w:pPr>
        <w:ind w:left="6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D0B1E49"/>
    <w:multiLevelType w:val="hybridMultilevel"/>
    <w:tmpl w:val="881E49AE"/>
    <w:lvl w:ilvl="0" w:tplc="63842520">
      <w:start w:val="1"/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40886F98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962F6"/>
    <w:multiLevelType w:val="hybridMultilevel"/>
    <w:tmpl w:val="D794CDD4"/>
    <w:lvl w:ilvl="0" w:tplc="C608A4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936CB"/>
    <w:multiLevelType w:val="hybridMultilevel"/>
    <w:tmpl w:val="74E04C1E"/>
    <w:lvl w:ilvl="0" w:tplc="675EFB1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B6AAB"/>
    <w:multiLevelType w:val="hybridMultilevel"/>
    <w:tmpl w:val="753040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82587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37790"/>
    <w:multiLevelType w:val="hybridMultilevel"/>
    <w:tmpl w:val="C0D05F00"/>
    <w:lvl w:ilvl="0" w:tplc="DEA61118">
      <w:start w:val="1"/>
      <w:numFmt w:val="upperRoman"/>
      <w:lvlText w:val="%1."/>
      <w:lvlJc w:val="right"/>
      <w:pPr>
        <w:ind w:left="70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1" w15:restartNumberingAfterBreak="0">
    <w:nsid w:val="5C6B4AB0"/>
    <w:multiLevelType w:val="multilevel"/>
    <w:tmpl w:val="31A283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32" w15:restartNumberingAfterBreak="0">
    <w:nsid w:val="63964581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82C64"/>
    <w:multiLevelType w:val="multilevel"/>
    <w:tmpl w:val="54941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34" w15:restartNumberingAfterBreak="0">
    <w:nsid w:val="6CC05EF6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D6EAE"/>
    <w:multiLevelType w:val="hybridMultilevel"/>
    <w:tmpl w:val="72DA7E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9150C"/>
    <w:multiLevelType w:val="hybridMultilevel"/>
    <w:tmpl w:val="A8C623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5C8928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59758F"/>
    <w:multiLevelType w:val="hybridMultilevel"/>
    <w:tmpl w:val="9544F2A0"/>
    <w:lvl w:ilvl="0" w:tplc="A650F20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37A9A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74D105D"/>
    <w:multiLevelType w:val="hybridMultilevel"/>
    <w:tmpl w:val="C7CA4DC4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0" w15:restartNumberingAfterBreak="0">
    <w:nsid w:val="7AF96766"/>
    <w:multiLevelType w:val="multilevel"/>
    <w:tmpl w:val="833E4C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D556E9B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D673258"/>
    <w:multiLevelType w:val="hybridMultilevel"/>
    <w:tmpl w:val="0226A2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65650"/>
    <w:multiLevelType w:val="hybridMultilevel"/>
    <w:tmpl w:val="295E7ED0"/>
    <w:lvl w:ilvl="0" w:tplc="59BE5A6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FBB0B37"/>
    <w:multiLevelType w:val="hybridMultilevel"/>
    <w:tmpl w:val="F2BEF01A"/>
    <w:lvl w:ilvl="0" w:tplc="70E47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23"/>
  </w:num>
  <w:num w:numId="3">
    <w:abstractNumId w:val="5"/>
  </w:num>
  <w:num w:numId="4">
    <w:abstractNumId w:val="3"/>
  </w:num>
  <w:num w:numId="5">
    <w:abstractNumId w:val="39"/>
  </w:num>
  <w:num w:numId="6">
    <w:abstractNumId w:val="30"/>
  </w:num>
  <w:num w:numId="7">
    <w:abstractNumId w:val="38"/>
  </w:num>
  <w:num w:numId="8">
    <w:abstractNumId w:val="12"/>
  </w:num>
  <w:num w:numId="9">
    <w:abstractNumId w:val="20"/>
  </w:num>
  <w:num w:numId="10">
    <w:abstractNumId w:val="1"/>
  </w:num>
  <w:num w:numId="11">
    <w:abstractNumId w:val="18"/>
  </w:num>
  <w:num w:numId="12">
    <w:abstractNumId w:val="35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  <w:lvlOverride w:ilvl="0">
      <w:lvl w:ilvl="0">
        <w:start w:val="1"/>
        <w:numFmt w:val="decimal"/>
        <w:pStyle w:val="AQNadpis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702"/>
          </w:tabs>
          <w:ind w:left="1702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304"/>
          </w:tabs>
          <w:ind w:left="1304" w:hanging="130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40" w:hanging="3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0" w:hanging="3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0" w:hanging="3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0" w:hanging="3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40" w:hanging="340"/>
        </w:pPr>
        <w:rPr>
          <w:rFonts w:hint="default"/>
        </w:rPr>
      </w:lvl>
    </w:lvlOverride>
  </w:num>
  <w:num w:numId="16">
    <w:abstractNumId w:val="6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31"/>
  </w:num>
  <w:num w:numId="26">
    <w:abstractNumId w:val="22"/>
  </w:num>
  <w:num w:numId="27">
    <w:abstractNumId w:val="9"/>
  </w:num>
  <w:num w:numId="28">
    <w:abstractNumId w:val="24"/>
  </w:num>
  <w:num w:numId="29">
    <w:abstractNumId w:val="4"/>
  </w:num>
  <w:num w:numId="30">
    <w:abstractNumId w:val="25"/>
  </w:num>
  <w:num w:numId="31">
    <w:abstractNumId w:val="0"/>
  </w:num>
  <w:num w:numId="32">
    <w:abstractNumId w:val="32"/>
  </w:num>
  <w:num w:numId="33">
    <w:abstractNumId w:val="2"/>
  </w:num>
  <w:num w:numId="34">
    <w:abstractNumId w:val="34"/>
  </w:num>
  <w:num w:numId="35">
    <w:abstractNumId w:val="29"/>
  </w:num>
  <w:num w:numId="36">
    <w:abstractNumId w:val="28"/>
  </w:num>
  <w:num w:numId="37">
    <w:abstractNumId w:val="43"/>
  </w:num>
  <w:num w:numId="38">
    <w:abstractNumId w:val="7"/>
  </w:num>
  <w:num w:numId="39">
    <w:abstractNumId w:val="15"/>
  </w:num>
  <w:num w:numId="40">
    <w:abstractNumId w:val="36"/>
  </w:num>
  <w:num w:numId="41">
    <w:abstractNumId w:val="8"/>
  </w:num>
  <w:num w:numId="42">
    <w:abstractNumId w:val="41"/>
  </w:num>
  <w:num w:numId="43">
    <w:abstractNumId w:val="10"/>
  </w:num>
  <w:num w:numId="44">
    <w:abstractNumId w:val="14"/>
  </w:num>
  <w:num w:numId="45">
    <w:abstractNumId w:val="44"/>
  </w:num>
  <w:num w:numId="46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5F"/>
    <w:rsid w:val="00003B6C"/>
    <w:rsid w:val="000132AB"/>
    <w:rsid w:val="0002136E"/>
    <w:rsid w:val="000276A5"/>
    <w:rsid w:val="000340D9"/>
    <w:rsid w:val="00047B8C"/>
    <w:rsid w:val="00060660"/>
    <w:rsid w:val="000614F2"/>
    <w:rsid w:val="000720B3"/>
    <w:rsid w:val="00075250"/>
    <w:rsid w:val="00084B35"/>
    <w:rsid w:val="00090982"/>
    <w:rsid w:val="00092507"/>
    <w:rsid w:val="000A0448"/>
    <w:rsid w:val="000A26B5"/>
    <w:rsid w:val="000C256A"/>
    <w:rsid w:val="000D150C"/>
    <w:rsid w:val="000D6E43"/>
    <w:rsid w:val="000E5AE2"/>
    <w:rsid w:val="000F0630"/>
    <w:rsid w:val="000F1F93"/>
    <w:rsid w:val="000F3F6A"/>
    <w:rsid w:val="00117957"/>
    <w:rsid w:val="00122D9C"/>
    <w:rsid w:val="00126335"/>
    <w:rsid w:val="00127EED"/>
    <w:rsid w:val="00137572"/>
    <w:rsid w:val="00140B93"/>
    <w:rsid w:val="00141D2C"/>
    <w:rsid w:val="001508C2"/>
    <w:rsid w:val="00167A72"/>
    <w:rsid w:val="00173504"/>
    <w:rsid w:val="0018196C"/>
    <w:rsid w:val="0018298A"/>
    <w:rsid w:val="00183C14"/>
    <w:rsid w:val="0018473B"/>
    <w:rsid w:val="00195718"/>
    <w:rsid w:val="001A008F"/>
    <w:rsid w:val="001A5A90"/>
    <w:rsid w:val="001A74D7"/>
    <w:rsid w:val="001B36D7"/>
    <w:rsid w:val="001D0107"/>
    <w:rsid w:val="001D53B1"/>
    <w:rsid w:val="001F0A76"/>
    <w:rsid w:val="001F2A28"/>
    <w:rsid w:val="002025EC"/>
    <w:rsid w:val="002026D5"/>
    <w:rsid w:val="0020434D"/>
    <w:rsid w:val="00214E66"/>
    <w:rsid w:val="002268DC"/>
    <w:rsid w:val="00232115"/>
    <w:rsid w:val="002403D6"/>
    <w:rsid w:val="00257331"/>
    <w:rsid w:val="00262018"/>
    <w:rsid w:val="0026752C"/>
    <w:rsid w:val="00272504"/>
    <w:rsid w:val="0029001A"/>
    <w:rsid w:val="00292284"/>
    <w:rsid w:val="00294790"/>
    <w:rsid w:val="002A3537"/>
    <w:rsid w:val="002A3C03"/>
    <w:rsid w:val="002A7D8A"/>
    <w:rsid w:val="002B661A"/>
    <w:rsid w:val="002B6EFC"/>
    <w:rsid w:val="002C3431"/>
    <w:rsid w:val="002C77FA"/>
    <w:rsid w:val="002D21D8"/>
    <w:rsid w:val="002E0BDE"/>
    <w:rsid w:val="002E2A06"/>
    <w:rsid w:val="002E482A"/>
    <w:rsid w:val="003014E3"/>
    <w:rsid w:val="0030261A"/>
    <w:rsid w:val="00325D48"/>
    <w:rsid w:val="003262F2"/>
    <w:rsid w:val="00335639"/>
    <w:rsid w:val="0034026A"/>
    <w:rsid w:val="003470CB"/>
    <w:rsid w:val="003606D6"/>
    <w:rsid w:val="00361EB3"/>
    <w:rsid w:val="0037037A"/>
    <w:rsid w:val="003703CA"/>
    <w:rsid w:val="003713D0"/>
    <w:rsid w:val="0037212E"/>
    <w:rsid w:val="00373E62"/>
    <w:rsid w:val="00376F62"/>
    <w:rsid w:val="0038693F"/>
    <w:rsid w:val="00392E8E"/>
    <w:rsid w:val="003A422C"/>
    <w:rsid w:val="003A429C"/>
    <w:rsid w:val="003C03B6"/>
    <w:rsid w:val="003C157C"/>
    <w:rsid w:val="003D0AD0"/>
    <w:rsid w:val="003D3B83"/>
    <w:rsid w:val="003F21CF"/>
    <w:rsid w:val="0040030F"/>
    <w:rsid w:val="004032D1"/>
    <w:rsid w:val="004046CD"/>
    <w:rsid w:val="00404EDB"/>
    <w:rsid w:val="004101CD"/>
    <w:rsid w:val="00413CD3"/>
    <w:rsid w:val="004149F8"/>
    <w:rsid w:val="00421616"/>
    <w:rsid w:val="00424C86"/>
    <w:rsid w:val="004251D3"/>
    <w:rsid w:val="004253E7"/>
    <w:rsid w:val="004329E5"/>
    <w:rsid w:val="00440B51"/>
    <w:rsid w:val="0044116C"/>
    <w:rsid w:val="004419F5"/>
    <w:rsid w:val="00443021"/>
    <w:rsid w:val="00443498"/>
    <w:rsid w:val="0045150D"/>
    <w:rsid w:val="0045267D"/>
    <w:rsid w:val="004547D6"/>
    <w:rsid w:val="004826EC"/>
    <w:rsid w:val="00484907"/>
    <w:rsid w:val="004A6FBA"/>
    <w:rsid w:val="004B1E10"/>
    <w:rsid w:val="004C6D2C"/>
    <w:rsid w:val="004D341C"/>
    <w:rsid w:val="004D573D"/>
    <w:rsid w:val="004E6444"/>
    <w:rsid w:val="004F0C5C"/>
    <w:rsid w:val="005065C3"/>
    <w:rsid w:val="0050734E"/>
    <w:rsid w:val="00517397"/>
    <w:rsid w:val="00541D18"/>
    <w:rsid w:val="005428DA"/>
    <w:rsid w:val="0056033A"/>
    <w:rsid w:val="00564D2A"/>
    <w:rsid w:val="00571DAB"/>
    <w:rsid w:val="005972FA"/>
    <w:rsid w:val="005A5F15"/>
    <w:rsid w:val="005B109A"/>
    <w:rsid w:val="005B1FA1"/>
    <w:rsid w:val="005B4652"/>
    <w:rsid w:val="005B62C8"/>
    <w:rsid w:val="005C21A6"/>
    <w:rsid w:val="005C21B7"/>
    <w:rsid w:val="005D5C71"/>
    <w:rsid w:val="005E20DD"/>
    <w:rsid w:val="005E3761"/>
    <w:rsid w:val="005E4CBD"/>
    <w:rsid w:val="005F76FC"/>
    <w:rsid w:val="006058AD"/>
    <w:rsid w:val="00606705"/>
    <w:rsid w:val="006127BA"/>
    <w:rsid w:val="00613BAE"/>
    <w:rsid w:val="00620D04"/>
    <w:rsid w:val="00665564"/>
    <w:rsid w:val="00670340"/>
    <w:rsid w:val="00682E1F"/>
    <w:rsid w:val="00687E9B"/>
    <w:rsid w:val="006900A8"/>
    <w:rsid w:val="006A51B8"/>
    <w:rsid w:val="006B347A"/>
    <w:rsid w:val="006C1BBB"/>
    <w:rsid w:val="006D614A"/>
    <w:rsid w:val="006F3C9A"/>
    <w:rsid w:val="006F4489"/>
    <w:rsid w:val="00702D08"/>
    <w:rsid w:val="0070684B"/>
    <w:rsid w:val="00724A84"/>
    <w:rsid w:val="00730C88"/>
    <w:rsid w:val="00741293"/>
    <w:rsid w:val="0074693E"/>
    <w:rsid w:val="00746B0E"/>
    <w:rsid w:val="00752A45"/>
    <w:rsid w:val="007560B0"/>
    <w:rsid w:val="00761B99"/>
    <w:rsid w:val="00763EC4"/>
    <w:rsid w:val="00770316"/>
    <w:rsid w:val="00770698"/>
    <w:rsid w:val="00770981"/>
    <w:rsid w:val="0079412A"/>
    <w:rsid w:val="00794248"/>
    <w:rsid w:val="00794955"/>
    <w:rsid w:val="007B0B3B"/>
    <w:rsid w:val="007B2A8F"/>
    <w:rsid w:val="007C0AC1"/>
    <w:rsid w:val="007C0EC7"/>
    <w:rsid w:val="007E0868"/>
    <w:rsid w:val="007E3AE8"/>
    <w:rsid w:val="007E5C8B"/>
    <w:rsid w:val="007E5FB3"/>
    <w:rsid w:val="007F3CE7"/>
    <w:rsid w:val="007F6D77"/>
    <w:rsid w:val="007F7EBB"/>
    <w:rsid w:val="0080123B"/>
    <w:rsid w:val="008023C5"/>
    <w:rsid w:val="00803F42"/>
    <w:rsid w:val="008056FB"/>
    <w:rsid w:val="0082216F"/>
    <w:rsid w:val="00831AFC"/>
    <w:rsid w:val="00840F86"/>
    <w:rsid w:val="008477AD"/>
    <w:rsid w:val="0085528A"/>
    <w:rsid w:val="00856E0A"/>
    <w:rsid w:val="00870E0C"/>
    <w:rsid w:val="00877194"/>
    <w:rsid w:val="008777DD"/>
    <w:rsid w:val="0088515E"/>
    <w:rsid w:val="00897FCD"/>
    <w:rsid w:val="008A195C"/>
    <w:rsid w:val="008B48CD"/>
    <w:rsid w:val="008C6F5B"/>
    <w:rsid w:val="008D4673"/>
    <w:rsid w:val="008D5BCC"/>
    <w:rsid w:val="008E747F"/>
    <w:rsid w:val="008F2880"/>
    <w:rsid w:val="008F71DB"/>
    <w:rsid w:val="008F7B92"/>
    <w:rsid w:val="00902AF9"/>
    <w:rsid w:val="009273F4"/>
    <w:rsid w:val="00930D19"/>
    <w:rsid w:val="00943F41"/>
    <w:rsid w:val="00945D1E"/>
    <w:rsid w:val="00966983"/>
    <w:rsid w:val="00970563"/>
    <w:rsid w:val="00970666"/>
    <w:rsid w:val="00974625"/>
    <w:rsid w:val="00983AD8"/>
    <w:rsid w:val="009904AE"/>
    <w:rsid w:val="009914EE"/>
    <w:rsid w:val="00993E6A"/>
    <w:rsid w:val="0099424B"/>
    <w:rsid w:val="00997FEF"/>
    <w:rsid w:val="009B4489"/>
    <w:rsid w:val="009B4D0A"/>
    <w:rsid w:val="009B5876"/>
    <w:rsid w:val="009C34C9"/>
    <w:rsid w:val="009C4D87"/>
    <w:rsid w:val="009D4270"/>
    <w:rsid w:val="009E18F3"/>
    <w:rsid w:val="009F439A"/>
    <w:rsid w:val="009F7129"/>
    <w:rsid w:val="00A0197C"/>
    <w:rsid w:val="00A07ED7"/>
    <w:rsid w:val="00A12328"/>
    <w:rsid w:val="00A17F6C"/>
    <w:rsid w:val="00A43204"/>
    <w:rsid w:val="00A45569"/>
    <w:rsid w:val="00A60D71"/>
    <w:rsid w:val="00A70451"/>
    <w:rsid w:val="00A72E7A"/>
    <w:rsid w:val="00A7646E"/>
    <w:rsid w:val="00A80FC0"/>
    <w:rsid w:val="00A83B98"/>
    <w:rsid w:val="00A86FF0"/>
    <w:rsid w:val="00A87FAC"/>
    <w:rsid w:val="00AA5019"/>
    <w:rsid w:val="00AC29CB"/>
    <w:rsid w:val="00AD0F5F"/>
    <w:rsid w:val="00AD2FCB"/>
    <w:rsid w:val="00AD53B2"/>
    <w:rsid w:val="00AE0C1A"/>
    <w:rsid w:val="00AF3CFD"/>
    <w:rsid w:val="00B00A30"/>
    <w:rsid w:val="00B14822"/>
    <w:rsid w:val="00B20118"/>
    <w:rsid w:val="00B22DCE"/>
    <w:rsid w:val="00B344F8"/>
    <w:rsid w:val="00B403EF"/>
    <w:rsid w:val="00B42482"/>
    <w:rsid w:val="00B43971"/>
    <w:rsid w:val="00B44E6F"/>
    <w:rsid w:val="00B4712F"/>
    <w:rsid w:val="00B47DD4"/>
    <w:rsid w:val="00B513CE"/>
    <w:rsid w:val="00B51519"/>
    <w:rsid w:val="00B64052"/>
    <w:rsid w:val="00B77281"/>
    <w:rsid w:val="00B849B6"/>
    <w:rsid w:val="00B8567A"/>
    <w:rsid w:val="00BA6889"/>
    <w:rsid w:val="00BB0042"/>
    <w:rsid w:val="00BB05FE"/>
    <w:rsid w:val="00BB3067"/>
    <w:rsid w:val="00BB4711"/>
    <w:rsid w:val="00BC55F0"/>
    <w:rsid w:val="00BC5E67"/>
    <w:rsid w:val="00BE4D6A"/>
    <w:rsid w:val="00C013D9"/>
    <w:rsid w:val="00C05327"/>
    <w:rsid w:val="00C101F1"/>
    <w:rsid w:val="00C1091A"/>
    <w:rsid w:val="00C10A25"/>
    <w:rsid w:val="00C11930"/>
    <w:rsid w:val="00C123C8"/>
    <w:rsid w:val="00C12DB2"/>
    <w:rsid w:val="00C14454"/>
    <w:rsid w:val="00C20D8A"/>
    <w:rsid w:val="00C254B5"/>
    <w:rsid w:val="00C26C68"/>
    <w:rsid w:val="00C46945"/>
    <w:rsid w:val="00C5026A"/>
    <w:rsid w:val="00C538FE"/>
    <w:rsid w:val="00C762E2"/>
    <w:rsid w:val="00C84583"/>
    <w:rsid w:val="00C8799C"/>
    <w:rsid w:val="00C90A5B"/>
    <w:rsid w:val="00C93D1A"/>
    <w:rsid w:val="00C93DCA"/>
    <w:rsid w:val="00CD2757"/>
    <w:rsid w:val="00CF6546"/>
    <w:rsid w:val="00D046A1"/>
    <w:rsid w:val="00D17388"/>
    <w:rsid w:val="00D26259"/>
    <w:rsid w:val="00D40847"/>
    <w:rsid w:val="00D426CE"/>
    <w:rsid w:val="00D43C1C"/>
    <w:rsid w:val="00D5173D"/>
    <w:rsid w:val="00D53CA7"/>
    <w:rsid w:val="00D715C9"/>
    <w:rsid w:val="00D81333"/>
    <w:rsid w:val="00D85597"/>
    <w:rsid w:val="00D973C1"/>
    <w:rsid w:val="00DA7E11"/>
    <w:rsid w:val="00DB4254"/>
    <w:rsid w:val="00DD0B40"/>
    <w:rsid w:val="00DE41E1"/>
    <w:rsid w:val="00DE79B6"/>
    <w:rsid w:val="00DF6BE0"/>
    <w:rsid w:val="00E019EE"/>
    <w:rsid w:val="00E03380"/>
    <w:rsid w:val="00E03443"/>
    <w:rsid w:val="00E075BF"/>
    <w:rsid w:val="00E233CF"/>
    <w:rsid w:val="00E27824"/>
    <w:rsid w:val="00E30164"/>
    <w:rsid w:val="00E354F3"/>
    <w:rsid w:val="00E366AB"/>
    <w:rsid w:val="00E45679"/>
    <w:rsid w:val="00E46A20"/>
    <w:rsid w:val="00E53436"/>
    <w:rsid w:val="00E57E8A"/>
    <w:rsid w:val="00E604DF"/>
    <w:rsid w:val="00E630AE"/>
    <w:rsid w:val="00E63943"/>
    <w:rsid w:val="00E669A6"/>
    <w:rsid w:val="00E77C87"/>
    <w:rsid w:val="00E77F0A"/>
    <w:rsid w:val="00E80840"/>
    <w:rsid w:val="00EA39C0"/>
    <w:rsid w:val="00EA5830"/>
    <w:rsid w:val="00EC0663"/>
    <w:rsid w:val="00EC675F"/>
    <w:rsid w:val="00ED46EE"/>
    <w:rsid w:val="00ED4BE9"/>
    <w:rsid w:val="00ED7DB5"/>
    <w:rsid w:val="00EE7B2F"/>
    <w:rsid w:val="00EE7C2A"/>
    <w:rsid w:val="00EF4C0C"/>
    <w:rsid w:val="00EF5F01"/>
    <w:rsid w:val="00F24037"/>
    <w:rsid w:val="00F315D7"/>
    <w:rsid w:val="00F468A9"/>
    <w:rsid w:val="00F53499"/>
    <w:rsid w:val="00F57A09"/>
    <w:rsid w:val="00F67433"/>
    <w:rsid w:val="00F73E75"/>
    <w:rsid w:val="00F841D1"/>
    <w:rsid w:val="00F9363F"/>
    <w:rsid w:val="00FA3F4B"/>
    <w:rsid w:val="00FB17F4"/>
    <w:rsid w:val="00FC1259"/>
    <w:rsid w:val="00FD4F46"/>
    <w:rsid w:val="00FD507E"/>
    <w:rsid w:val="00FE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4309CA"/>
  <w15:docId w15:val="{42A88709-AD97-40D4-9934-FCB23448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0981"/>
    <w:pPr>
      <w:spacing w:after="133" w:line="267" w:lineRule="auto"/>
      <w:ind w:left="47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next w:val="Normln"/>
    <w:link w:val="Nadpis1Char"/>
    <w:unhideWhenUsed/>
    <w:qFormat/>
    <w:rsid w:val="00770981"/>
    <w:pPr>
      <w:keepNext/>
      <w:keepLines/>
      <w:spacing w:after="13" w:line="268" w:lineRule="auto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dpis2">
    <w:name w:val="heading 2"/>
    <w:next w:val="Normln"/>
    <w:link w:val="Nadpis2Char"/>
    <w:unhideWhenUsed/>
    <w:qFormat/>
    <w:rsid w:val="00770981"/>
    <w:pPr>
      <w:keepNext/>
      <w:keepLines/>
      <w:spacing w:after="94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8196C"/>
    <w:pPr>
      <w:spacing w:after="120" w:line="280" w:lineRule="atLeast"/>
      <w:ind w:left="2269" w:hanging="708"/>
      <w:outlineLvl w:val="2"/>
    </w:pPr>
    <w:rPr>
      <w:color w:val="auto"/>
      <w:szCs w:val="2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8196C"/>
    <w:pPr>
      <w:spacing w:after="120" w:line="280" w:lineRule="atLeast"/>
      <w:ind w:left="3402" w:hanging="708"/>
      <w:outlineLvl w:val="3"/>
    </w:pPr>
    <w:rPr>
      <w:color w:val="auto"/>
      <w:szCs w:val="2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8196C"/>
    <w:pPr>
      <w:spacing w:after="120" w:line="280" w:lineRule="atLeast"/>
      <w:ind w:left="4962" w:hanging="708"/>
      <w:outlineLvl w:val="4"/>
    </w:pPr>
    <w:rPr>
      <w:color w:val="auto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196C"/>
    <w:pPr>
      <w:spacing w:after="120" w:line="280" w:lineRule="atLeast"/>
      <w:ind w:left="5529" w:hanging="708"/>
      <w:outlineLvl w:val="5"/>
    </w:pPr>
    <w:rPr>
      <w:color w:val="auto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8196C"/>
    <w:pPr>
      <w:spacing w:after="120" w:line="280" w:lineRule="atLeast"/>
      <w:ind w:left="4956" w:hanging="708"/>
      <w:outlineLvl w:val="6"/>
    </w:pPr>
    <w:rPr>
      <w:color w:val="auto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8196C"/>
    <w:pPr>
      <w:spacing w:after="120" w:line="280" w:lineRule="atLeast"/>
      <w:ind w:left="5664" w:hanging="708"/>
      <w:outlineLvl w:val="7"/>
    </w:pPr>
    <w:rPr>
      <w:color w:val="auto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8196C"/>
    <w:pPr>
      <w:spacing w:after="120" w:line="280" w:lineRule="atLeast"/>
      <w:ind w:left="6372" w:hanging="708"/>
      <w:outlineLvl w:val="8"/>
    </w:pPr>
    <w:rPr>
      <w:color w:val="auto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77098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link w:val="Nadpis1"/>
    <w:rsid w:val="0077098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77098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7F7EBB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F7E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3">
    <w:name w:val="Body Text3"/>
    <w:basedOn w:val="Normln"/>
    <w:uiPriority w:val="99"/>
    <w:rsid w:val="007F7EBB"/>
    <w:pPr>
      <w:suppressAutoHyphens/>
      <w:spacing w:before="60" w:after="0" w:line="240" w:lineRule="auto"/>
      <w:ind w:left="0" w:firstLine="425"/>
      <w:jc w:val="left"/>
    </w:pPr>
    <w:rPr>
      <w:color w:val="auto"/>
      <w:kern w:val="1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150D"/>
    <w:rPr>
      <w:rFonts w:ascii="Times New Roman" w:eastAsia="Times New Roman" w:hAnsi="Times New Roman" w:cs="Times New Roman"/>
      <w:color w:val="000000"/>
      <w:sz w:val="24"/>
    </w:rPr>
  </w:style>
  <w:style w:type="character" w:styleId="Odkaznakoment">
    <w:name w:val="annotation reference"/>
    <w:basedOn w:val="Standardnpsmoodstavce"/>
    <w:unhideWhenUsed/>
    <w:rsid w:val="0050734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073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734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3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34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34E"/>
    <w:rPr>
      <w:rFonts w:ascii="Tahoma" w:eastAsia="Times New Roman" w:hAnsi="Tahoma" w:cs="Tahoma"/>
      <w:color w:val="00000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63EC4"/>
    <w:pPr>
      <w:ind w:left="720"/>
      <w:contextualSpacing/>
    </w:pPr>
  </w:style>
  <w:style w:type="paragraph" w:customStyle="1" w:styleId="Style12">
    <w:name w:val="Style12"/>
    <w:basedOn w:val="Normln"/>
    <w:rsid w:val="004253E7"/>
    <w:pPr>
      <w:widowControl w:val="0"/>
      <w:autoSpaceDE w:val="0"/>
      <w:autoSpaceDN w:val="0"/>
      <w:adjustRightInd w:val="0"/>
      <w:spacing w:after="0" w:line="276" w:lineRule="exact"/>
      <w:ind w:left="0" w:firstLine="0"/>
    </w:pPr>
    <w:rPr>
      <w:rFonts w:eastAsia="Calibri"/>
      <w:color w:val="auto"/>
      <w:szCs w:val="24"/>
    </w:rPr>
  </w:style>
  <w:style w:type="character" w:customStyle="1" w:styleId="FontStyle38">
    <w:name w:val="Font Style38"/>
    <w:rsid w:val="004253E7"/>
    <w:rPr>
      <w:rFonts w:ascii="Times New Roman" w:hAnsi="Times New Roman"/>
      <w:color w:val="000000"/>
      <w:sz w:val="20"/>
    </w:rPr>
  </w:style>
  <w:style w:type="paragraph" w:customStyle="1" w:styleId="Style16">
    <w:name w:val="Style16"/>
    <w:basedOn w:val="Normln"/>
    <w:rsid w:val="00140B93"/>
    <w:pPr>
      <w:widowControl w:val="0"/>
      <w:autoSpaceDE w:val="0"/>
      <w:autoSpaceDN w:val="0"/>
      <w:adjustRightInd w:val="0"/>
      <w:spacing w:after="0" w:line="278" w:lineRule="exact"/>
      <w:ind w:left="0" w:hanging="355"/>
    </w:pPr>
    <w:rPr>
      <w:rFonts w:eastAsia="Calibri"/>
      <w:color w:val="auto"/>
      <w:szCs w:val="24"/>
    </w:rPr>
  </w:style>
  <w:style w:type="paragraph" w:styleId="Revize">
    <w:name w:val="Revision"/>
    <w:hidden/>
    <w:uiPriority w:val="99"/>
    <w:semiHidden/>
    <w:rsid w:val="0026752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Hypertextovodkaz">
    <w:name w:val="Hyperlink"/>
    <w:basedOn w:val="Standardnpsmoodstavce"/>
    <w:unhideWhenUsed/>
    <w:rsid w:val="002A3C03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rsid w:val="0018196C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8196C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rsid w:val="0018196C"/>
    <w:rPr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4Char">
    <w:name w:val="Nadpis 4 Char"/>
    <w:basedOn w:val="Standardnpsmoodstavce"/>
    <w:link w:val="Nadpis4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5Char">
    <w:name w:val="Nadpis 5 Char"/>
    <w:basedOn w:val="Standardnpsmoodstavce"/>
    <w:link w:val="Nadpis5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6Char">
    <w:name w:val="Nadpis 6 Char"/>
    <w:basedOn w:val="Standardnpsmoodstavce"/>
    <w:link w:val="Nadpis6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7Char">
    <w:name w:val="Nadpis 7 Char"/>
    <w:basedOn w:val="Standardnpsmoodstavce"/>
    <w:link w:val="Nadpis7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18196C"/>
  </w:style>
  <w:style w:type="paragraph" w:customStyle="1" w:styleId="AQNadpis1">
    <w:name w:val="AQ Nadpis 1"/>
    <w:next w:val="Normln"/>
    <w:link w:val="AQNadpis1Char"/>
    <w:qFormat/>
    <w:rsid w:val="0018196C"/>
    <w:pPr>
      <w:keepNext/>
      <w:pageBreakBefore/>
      <w:numPr>
        <w:numId w:val="15"/>
      </w:numPr>
      <w:spacing w:after="120" w:line="240" w:lineRule="auto"/>
      <w:outlineLvl w:val="0"/>
    </w:pPr>
    <w:rPr>
      <w:rFonts w:ascii="Georgia" w:eastAsia="Calibri" w:hAnsi="Georgia"/>
      <w:b/>
      <w:color w:val="000000"/>
      <w:sz w:val="32"/>
      <w:szCs w:val="48"/>
      <w:lang w:eastAsia="en-US"/>
      <w14:shadow w14:blurRad="38100" w14:dist="19050" w14:dir="2700000" w14:sx="100000" w14:sy="100000" w14:kx="0" w14:ky="0" w14:algn="t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QNadpis1Char">
    <w:name w:val="AQ Nadpis 1 Char"/>
    <w:basedOn w:val="Standardnpsmoodstavce"/>
    <w:link w:val="AQNadpis1"/>
    <w:rsid w:val="0018196C"/>
    <w:rPr>
      <w:rFonts w:ascii="Georgia" w:eastAsia="Calibri" w:hAnsi="Georgia"/>
      <w:b/>
      <w:color w:val="000000"/>
      <w:sz w:val="32"/>
      <w:szCs w:val="48"/>
      <w:lang w:eastAsia="en-US"/>
      <w14:shadow w14:blurRad="38100" w14:dist="19050" w14:dir="2700000" w14:sx="100000" w14:sy="100000" w14:kx="0" w14:ky="0" w14:algn="t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Default">
    <w:name w:val="Default"/>
    <w:rsid w:val="0018196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8196C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8196C"/>
    <w:rPr>
      <w:rFonts w:ascii="Calibri" w:eastAsia="Calibri" w:hAnsi="Calibri" w:cs="Times New Roman"/>
      <w:lang w:eastAsia="en-US"/>
    </w:rPr>
  </w:style>
  <w:style w:type="character" w:styleId="Siln">
    <w:name w:val="Strong"/>
    <w:qFormat/>
    <w:rsid w:val="0018196C"/>
    <w:rPr>
      <w:b/>
      <w:bCs w:val="0"/>
    </w:rPr>
  </w:style>
  <w:style w:type="paragraph" w:customStyle="1" w:styleId="Smluvnstrana">
    <w:name w:val="Smluvní strana"/>
    <w:basedOn w:val="Normln"/>
    <w:rsid w:val="0018196C"/>
    <w:pPr>
      <w:spacing w:after="0" w:line="280" w:lineRule="atLeast"/>
      <w:ind w:left="0" w:firstLine="0"/>
    </w:pPr>
    <w:rPr>
      <w:b/>
      <w:color w:val="auto"/>
      <w:sz w:val="28"/>
      <w:szCs w:val="20"/>
    </w:rPr>
  </w:style>
  <w:style w:type="paragraph" w:customStyle="1" w:styleId="Identifikacestran">
    <w:name w:val="Identifikace stran"/>
    <w:basedOn w:val="Normln"/>
    <w:rsid w:val="0018196C"/>
    <w:pPr>
      <w:spacing w:after="0" w:line="280" w:lineRule="atLeast"/>
      <w:ind w:left="0" w:firstLine="0"/>
    </w:pPr>
    <w:rPr>
      <w:color w:val="auto"/>
      <w:szCs w:val="20"/>
    </w:rPr>
  </w:style>
  <w:style w:type="character" w:customStyle="1" w:styleId="P5Nadpis1CharChar">
    <w:name w:val="P5 Nadpis 1 Char Char"/>
    <w:link w:val="P5Nadpis1"/>
    <w:locked/>
    <w:rsid w:val="0018196C"/>
    <w:rPr>
      <w:rFonts w:ascii="Arial" w:hAnsi="Arial" w:cs="Arial"/>
      <w:b/>
      <w:sz w:val="32"/>
      <w:szCs w:val="24"/>
    </w:rPr>
  </w:style>
  <w:style w:type="paragraph" w:customStyle="1" w:styleId="P5Nadpis1">
    <w:name w:val="P5 Nadpis 1"/>
    <w:basedOn w:val="Normln"/>
    <w:next w:val="Normln"/>
    <w:link w:val="P5Nadpis1CharChar"/>
    <w:rsid w:val="0018196C"/>
    <w:pPr>
      <w:keepNext/>
      <w:suppressAutoHyphens/>
      <w:spacing w:before="400" w:after="60" w:line="240" w:lineRule="auto"/>
      <w:ind w:left="0" w:firstLine="0"/>
      <w:jc w:val="center"/>
      <w:outlineLvl w:val="0"/>
    </w:pPr>
    <w:rPr>
      <w:rFonts w:ascii="Arial" w:eastAsiaTheme="minorEastAsia" w:hAnsi="Arial" w:cs="Arial"/>
      <w:b/>
      <w:color w:val="auto"/>
      <w:sz w:val="32"/>
      <w:szCs w:val="24"/>
    </w:rPr>
  </w:style>
  <w:style w:type="paragraph" w:styleId="Zkladntextodsazen">
    <w:name w:val="Body Text Indent"/>
    <w:basedOn w:val="Normln"/>
    <w:link w:val="ZkladntextodsazenChar"/>
    <w:rsid w:val="0018196C"/>
    <w:pPr>
      <w:spacing w:after="120" w:line="240" w:lineRule="auto"/>
      <w:ind w:left="426" w:hanging="426"/>
    </w:pPr>
    <w:rPr>
      <w:color w:val="auto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8196C"/>
    <w:rPr>
      <w:rFonts w:ascii="Times New Roman" w:eastAsia="Times New Roman" w:hAnsi="Times New Roman" w:cs="Times New Roman"/>
      <w:szCs w:val="20"/>
    </w:rPr>
  </w:style>
  <w:style w:type="paragraph" w:customStyle="1" w:styleId="odst2">
    <w:name w:val="odst2"/>
    <w:basedOn w:val="Normln"/>
    <w:rsid w:val="0018196C"/>
    <w:pPr>
      <w:tabs>
        <w:tab w:val="left" w:pos="993"/>
      </w:tabs>
      <w:spacing w:after="60" w:line="240" w:lineRule="auto"/>
      <w:ind w:left="993" w:hanging="426"/>
      <w:jc w:val="left"/>
    </w:pPr>
    <w:rPr>
      <w:color w:val="auto"/>
      <w:szCs w:val="20"/>
    </w:rPr>
  </w:style>
  <w:style w:type="paragraph" w:customStyle="1" w:styleId="odst1">
    <w:name w:val="odst1"/>
    <w:basedOn w:val="Normln"/>
    <w:rsid w:val="0018196C"/>
    <w:pPr>
      <w:tabs>
        <w:tab w:val="left" w:pos="426"/>
      </w:tabs>
      <w:spacing w:before="120" w:after="60" w:line="240" w:lineRule="auto"/>
      <w:ind w:left="426" w:hanging="426"/>
      <w:jc w:val="left"/>
    </w:pPr>
    <w:rPr>
      <w:color w:val="auto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8196C"/>
    <w:pPr>
      <w:spacing w:after="120" w:line="480" w:lineRule="auto"/>
      <w:ind w:left="283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8196C"/>
    <w:rPr>
      <w:rFonts w:ascii="Calibri" w:eastAsia="Calibri" w:hAnsi="Calibri" w:cs="Times New Roman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196C"/>
    <w:pPr>
      <w:spacing w:after="120" w:line="276" w:lineRule="auto"/>
      <w:ind w:left="283" w:firstLine="0"/>
      <w:jc w:val="left"/>
    </w:pPr>
    <w:rPr>
      <w:rFonts w:ascii="Calibri" w:eastAsia="Calibri" w:hAnsi="Calibri"/>
      <w:color w:val="auto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196C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Ploha">
    <w:name w:val="Příloha"/>
    <w:basedOn w:val="Normln"/>
    <w:rsid w:val="0018196C"/>
    <w:pPr>
      <w:spacing w:after="0" w:line="280" w:lineRule="atLeast"/>
      <w:ind w:left="0" w:firstLine="0"/>
      <w:jc w:val="center"/>
    </w:pPr>
    <w:rPr>
      <w:b/>
      <w:color w:val="auto"/>
      <w:sz w:val="36"/>
      <w:szCs w:val="20"/>
    </w:rPr>
  </w:style>
  <w:style w:type="paragraph" w:customStyle="1" w:styleId="Normln0">
    <w:name w:val="Norm‡ln’"/>
    <w:rsid w:val="0018196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customStyle="1" w:styleId="Nadpis21">
    <w:name w:val="Nadpis 21"/>
    <w:basedOn w:val="Normln"/>
    <w:link w:val="Nadpis21Char"/>
    <w:rsid w:val="0018196C"/>
    <w:pPr>
      <w:widowControl w:val="0"/>
      <w:spacing w:after="120" w:line="280" w:lineRule="atLeast"/>
      <w:ind w:left="1418" w:hanging="708"/>
    </w:pPr>
    <w:rPr>
      <w:color w:val="auto"/>
      <w:szCs w:val="20"/>
      <w:lang w:eastAsia="en-US"/>
    </w:rPr>
  </w:style>
  <w:style w:type="character" w:customStyle="1" w:styleId="Nadpis21Char">
    <w:name w:val="Nadpis 21 Char"/>
    <w:link w:val="Nadpis21"/>
    <w:rsid w:val="0018196C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lanek11">
    <w:name w:val="Clanek 1.1"/>
    <w:basedOn w:val="Nadpis2"/>
    <w:link w:val="Clanek11Char"/>
    <w:qFormat/>
    <w:rsid w:val="0018196C"/>
    <w:pPr>
      <w:keepNext w:val="0"/>
      <w:keepLines w:val="0"/>
      <w:widowControl w:val="0"/>
      <w:tabs>
        <w:tab w:val="num" w:pos="567"/>
      </w:tabs>
      <w:spacing w:before="120" w:after="120" w:line="240" w:lineRule="auto"/>
      <w:ind w:left="567" w:hanging="567"/>
      <w:jc w:val="both"/>
    </w:pPr>
    <w:rPr>
      <w:rFonts w:cs="Arial"/>
      <w:b w:val="0"/>
      <w:bCs/>
      <w:iCs/>
      <w:color w:val="auto"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18196C"/>
    <w:pPr>
      <w:keepLines/>
      <w:widowControl w:val="0"/>
      <w:tabs>
        <w:tab w:val="num" w:pos="992"/>
      </w:tabs>
      <w:spacing w:before="120" w:after="120" w:line="240" w:lineRule="auto"/>
      <w:ind w:left="992" w:hanging="425"/>
    </w:pPr>
    <w:rPr>
      <w:color w:val="auto"/>
      <w:sz w:val="22"/>
      <w:szCs w:val="24"/>
      <w:lang w:eastAsia="en-US"/>
    </w:rPr>
  </w:style>
  <w:style w:type="paragraph" w:customStyle="1" w:styleId="Claneki">
    <w:name w:val="Clanek (i)"/>
    <w:basedOn w:val="Normln"/>
    <w:qFormat/>
    <w:rsid w:val="0018196C"/>
    <w:pPr>
      <w:keepNext/>
      <w:tabs>
        <w:tab w:val="num" w:pos="1418"/>
      </w:tabs>
      <w:spacing w:before="120" w:after="120" w:line="240" w:lineRule="auto"/>
      <w:ind w:left="1418" w:hanging="426"/>
    </w:pPr>
    <w:rPr>
      <w:sz w:val="22"/>
      <w:szCs w:val="24"/>
      <w:lang w:eastAsia="en-US"/>
    </w:rPr>
  </w:style>
  <w:style w:type="character" w:customStyle="1" w:styleId="Clanek11Char">
    <w:name w:val="Clanek 1.1 Char"/>
    <w:link w:val="Clanek11"/>
    <w:locked/>
    <w:rsid w:val="0018196C"/>
    <w:rPr>
      <w:rFonts w:ascii="Times New Roman" w:eastAsia="Times New Roman" w:hAnsi="Times New Roman" w:cs="Arial"/>
      <w:bCs/>
      <w:iCs/>
      <w:szCs w:val="28"/>
      <w:lang w:eastAsia="en-US"/>
    </w:rPr>
  </w:style>
  <w:style w:type="paragraph" w:customStyle="1" w:styleId="kancel">
    <w:name w:val="kancelář"/>
    <w:basedOn w:val="Normln"/>
    <w:rsid w:val="0018196C"/>
    <w:pPr>
      <w:spacing w:after="0" w:line="240" w:lineRule="auto"/>
      <w:ind w:left="227" w:hanging="227"/>
    </w:pPr>
    <w:rPr>
      <w:color w:val="auto"/>
      <w:szCs w:val="20"/>
    </w:rPr>
  </w:style>
  <w:style w:type="paragraph" w:customStyle="1" w:styleId="UsnKoho">
    <w:name w:val="UsnKoho"/>
    <w:basedOn w:val="Normln"/>
    <w:rsid w:val="00794248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  <w:textAlignment w:val="baseline"/>
    </w:pPr>
    <w:rPr>
      <w:rFonts w:ascii="Arial" w:hAnsi="Arial"/>
      <w:color w:val="auto"/>
      <w:sz w:val="22"/>
      <w:szCs w:val="20"/>
    </w:rPr>
  </w:style>
  <w:style w:type="character" w:customStyle="1" w:styleId="ListParagraphChar">
    <w:name w:val="List Paragraph Char"/>
    <w:link w:val="Odstavecseseznamem1"/>
    <w:locked/>
    <w:rsid w:val="004547D6"/>
    <w:rPr>
      <w:rFonts w:ascii="Calibri" w:hAnsi="Calibri"/>
      <w:lang w:eastAsia="en-US"/>
    </w:rPr>
  </w:style>
  <w:style w:type="paragraph" w:customStyle="1" w:styleId="Odstavecseseznamem1">
    <w:name w:val="Odstavec se seznamem1"/>
    <w:basedOn w:val="Normln"/>
    <w:link w:val="ListParagraphChar"/>
    <w:rsid w:val="004547D6"/>
    <w:pPr>
      <w:spacing w:after="200" w:line="276" w:lineRule="auto"/>
      <w:ind w:left="720" w:firstLine="0"/>
      <w:contextualSpacing/>
      <w:jc w:val="left"/>
    </w:pPr>
    <w:rPr>
      <w:rFonts w:ascii="Calibri" w:eastAsiaTheme="minorEastAsia" w:hAnsi="Calibri" w:cstheme="minorBidi"/>
      <w:color w:val="auto"/>
      <w:sz w:val="22"/>
      <w:lang w:eastAsia="en-US"/>
    </w:rPr>
  </w:style>
  <w:style w:type="table" w:styleId="Mkatabulky">
    <w:name w:val="Table Grid"/>
    <w:basedOn w:val="Normlntabulka"/>
    <w:uiPriority w:val="59"/>
    <w:rsid w:val="004C6D2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B661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B9122-D0D5-4069-B23A-18733D62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9</Pages>
  <Words>2574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Koyš Mário (Praha 12)</dc:creator>
  <cp:lastModifiedBy>Pauch Vojtěch (Praha 12)</cp:lastModifiedBy>
  <cp:revision>14</cp:revision>
  <cp:lastPrinted>2017-04-24T14:53:00Z</cp:lastPrinted>
  <dcterms:created xsi:type="dcterms:W3CDTF">2024-04-08T16:40:00Z</dcterms:created>
  <dcterms:modified xsi:type="dcterms:W3CDTF">2024-04-30T08:37:00Z</dcterms:modified>
</cp:coreProperties>
</file>